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11BA8" w14:textId="77777777" w:rsidR="00706097" w:rsidRDefault="00706097">
      <w:pPr>
        <w:spacing w:line="360" w:lineRule="auto"/>
        <w:ind w:firstLine="883"/>
        <w:jc w:val="center"/>
        <w:rPr>
          <w:b/>
          <w:sz w:val="44"/>
        </w:rPr>
      </w:pPr>
    </w:p>
    <w:p w14:paraId="065EC397" w14:textId="77777777" w:rsidR="00706097" w:rsidRDefault="00706097">
      <w:pPr>
        <w:spacing w:line="360" w:lineRule="auto"/>
        <w:ind w:firstLine="881"/>
        <w:jc w:val="center"/>
        <w:rPr>
          <w:b/>
          <w:sz w:val="44"/>
        </w:rPr>
      </w:pPr>
    </w:p>
    <w:p w14:paraId="7C823D3C" w14:textId="77777777" w:rsidR="00706097" w:rsidRDefault="00706097">
      <w:pPr>
        <w:spacing w:line="360" w:lineRule="auto"/>
        <w:ind w:firstLine="881"/>
        <w:jc w:val="center"/>
        <w:rPr>
          <w:b/>
          <w:sz w:val="44"/>
        </w:rPr>
      </w:pPr>
    </w:p>
    <w:p w14:paraId="2B742EA5" w14:textId="77777777" w:rsidR="00706097" w:rsidRDefault="00706097">
      <w:pPr>
        <w:spacing w:line="360" w:lineRule="auto"/>
        <w:ind w:firstLine="881"/>
        <w:jc w:val="center"/>
        <w:rPr>
          <w:b/>
          <w:sz w:val="44"/>
        </w:rPr>
      </w:pPr>
    </w:p>
    <w:p w14:paraId="232E2F8F" w14:textId="77777777" w:rsidR="00706097" w:rsidRDefault="00706097">
      <w:pPr>
        <w:spacing w:line="360" w:lineRule="auto"/>
        <w:ind w:firstLine="881"/>
        <w:jc w:val="center"/>
        <w:rPr>
          <w:b/>
          <w:sz w:val="44"/>
        </w:rPr>
      </w:pPr>
    </w:p>
    <w:p w14:paraId="3DE33C98" w14:textId="77777777" w:rsidR="00706097" w:rsidRDefault="00DA6858">
      <w:pPr>
        <w:jc w:val="center"/>
        <w:rPr>
          <w:rFonts w:ascii="黑体" w:eastAsia="黑体" w:hAnsi="黑体"/>
          <w:b/>
          <w:sz w:val="36"/>
          <w:szCs w:val="36"/>
        </w:rPr>
      </w:pPr>
      <w:bookmarkStart w:id="0" w:name="_Toc411428913"/>
      <w:r>
        <w:rPr>
          <w:rFonts w:ascii="黑体" w:eastAsia="黑体" w:hAnsi="黑体" w:hint="eastAsia"/>
          <w:b/>
          <w:sz w:val="36"/>
          <w:szCs w:val="36"/>
        </w:rPr>
        <w:t>东海</w:t>
      </w:r>
      <w:proofErr w:type="gramStart"/>
      <w:r>
        <w:rPr>
          <w:rFonts w:ascii="黑体" w:eastAsia="黑体" w:hAnsi="黑体" w:hint="eastAsia"/>
          <w:b/>
          <w:sz w:val="36"/>
          <w:szCs w:val="36"/>
        </w:rPr>
        <w:t>祥苏短</w:t>
      </w:r>
      <w:proofErr w:type="gramEnd"/>
      <w:r>
        <w:rPr>
          <w:rFonts w:ascii="黑体" w:eastAsia="黑体" w:hAnsi="黑体" w:hint="eastAsia"/>
          <w:b/>
          <w:sz w:val="36"/>
          <w:szCs w:val="36"/>
        </w:rPr>
        <w:t>债债券型证券投资基金</w:t>
      </w:r>
    </w:p>
    <w:p w14:paraId="51985D2C" w14:textId="77777777" w:rsidR="00706097" w:rsidRDefault="00DA6858">
      <w:pPr>
        <w:jc w:val="center"/>
        <w:rPr>
          <w:rFonts w:ascii="黑体" w:eastAsia="黑体" w:hAnsi="黑体"/>
          <w:b/>
          <w:sz w:val="36"/>
          <w:szCs w:val="36"/>
        </w:rPr>
      </w:pPr>
      <w:r>
        <w:rPr>
          <w:rFonts w:ascii="黑体" w:eastAsia="黑体" w:hAnsi="黑体" w:hint="eastAsia"/>
          <w:b/>
          <w:sz w:val="36"/>
          <w:szCs w:val="36"/>
        </w:rPr>
        <w:t>招募说明书</w:t>
      </w:r>
      <w:bookmarkEnd w:id="0"/>
      <w:r>
        <w:rPr>
          <w:rFonts w:ascii="黑体" w:eastAsia="黑体" w:hAnsi="黑体" w:hint="eastAsia"/>
          <w:b/>
          <w:sz w:val="36"/>
          <w:szCs w:val="36"/>
        </w:rPr>
        <w:t>（更新）</w:t>
      </w:r>
    </w:p>
    <w:p w14:paraId="5D3B4589" w14:textId="77777777" w:rsidR="00706097" w:rsidRDefault="00706097">
      <w:pPr>
        <w:spacing w:line="360" w:lineRule="auto"/>
        <w:rPr>
          <w:b/>
          <w:sz w:val="44"/>
        </w:rPr>
      </w:pPr>
    </w:p>
    <w:p w14:paraId="45E78FD5" w14:textId="77777777" w:rsidR="00706097" w:rsidRDefault="00706097">
      <w:pPr>
        <w:spacing w:line="360" w:lineRule="auto"/>
        <w:rPr>
          <w:b/>
          <w:sz w:val="44"/>
        </w:rPr>
      </w:pPr>
    </w:p>
    <w:p w14:paraId="5F85A9E8" w14:textId="77777777" w:rsidR="00706097" w:rsidRDefault="00706097">
      <w:pPr>
        <w:spacing w:line="360" w:lineRule="auto"/>
        <w:rPr>
          <w:b/>
          <w:sz w:val="44"/>
        </w:rPr>
      </w:pPr>
    </w:p>
    <w:p w14:paraId="25D406B8" w14:textId="0DD6299F" w:rsidR="00706097" w:rsidRDefault="00F73B72">
      <w:pPr>
        <w:jc w:val="center"/>
        <w:rPr>
          <w:rFonts w:ascii="黑体" w:eastAsia="黑体" w:hAnsi="黑体"/>
          <w:b/>
          <w:sz w:val="36"/>
          <w:szCs w:val="36"/>
        </w:rPr>
      </w:pPr>
      <w:r>
        <w:rPr>
          <w:rFonts w:ascii="黑体" w:eastAsia="黑体" w:hAnsi="黑体"/>
          <w:b/>
          <w:sz w:val="36"/>
          <w:szCs w:val="36"/>
        </w:rPr>
        <w:t>20</w:t>
      </w:r>
      <w:r>
        <w:rPr>
          <w:rFonts w:ascii="黑体" w:eastAsia="黑体" w:hAnsi="黑体" w:hint="eastAsia"/>
          <w:b/>
          <w:sz w:val="36"/>
          <w:szCs w:val="36"/>
        </w:rPr>
        <w:t>2</w:t>
      </w:r>
      <w:r>
        <w:rPr>
          <w:rFonts w:ascii="黑体" w:eastAsia="黑体" w:hAnsi="黑体"/>
          <w:b/>
          <w:sz w:val="36"/>
          <w:szCs w:val="36"/>
        </w:rPr>
        <w:t>3</w:t>
      </w:r>
      <w:r w:rsidR="00DA6858">
        <w:rPr>
          <w:rFonts w:ascii="黑体" w:eastAsia="黑体" w:hAnsi="黑体"/>
          <w:b/>
          <w:sz w:val="36"/>
          <w:szCs w:val="36"/>
        </w:rPr>
        <w:t>年第</w:t>
      </w:r>
      <w:r>
        <w:rPr>
          <w:rFonts w:ascii="黑体" w:eastAsia="黑体" w:hAnsi="黑体"/>
          <w:b/>
          <w:sz w:val="36"/>
          <w:szCs w:val="36"/>
        </w:rPr>
        <w:t>1</w:t>
      </w:r>
      <w:r w:rsidR="00DA6858">
        <w:rPr>
          <w:rFonts w:ascii="黑体" w:eastAsia="黑体" w:hAnsi="黑体"/>
          <w:b/>
          <w:sz w:val="36"/>
          <w:szCs w:val="36"/>
        </w:rPr>
        <w:t>号</w:t>
      </w:r>
    </w:p>
    <w:p w14:paraId="521287BA" w14:textId="77777777" w:rsidR="00706097" w:rsidRDefault="00706097">
      <w:pPr>
        <w:spacing w:line="360" w:lineRule="auto"/>
        <w:ind w:leftChars="800" w:left="1680" w:firstLine="181"/>
        <w:rPr>
          <w:sz w:val="30"/>
          <w:szCs w:val="30"/>
        </w:rPr>
      </w:pPr>
    </w:p>
    <w:p w14:paraId="2BEDBDF8" w14:textId="77777777" w:rsidR="00706097" w:rsidRDefault="00706097">
      <w:pPr>
        <w:spacing w:line="360" w:lineRule="auto"/>
        <w:ind w:leftChars="800" w:left="1680" w:firstLine="181"/>
        <w:rPr>
          <w:sz w:val="30"/>
          <w:szCs w:val="30"/>
        </w:rPr>
      </w:pPr>
    </w:p>
    <w:p w14:paraId="5A9D8CF0" w14:textId="77777777" w:rsidR="00706097" w:rsidRDefault="00706097">
      <w:pPr>
        <w:spacing w:line="360" w:lineRule="auto"/>
        <w:ind w:leftChars="800" w:left="1680"/>
        <w:rPr>
          <w:sz w:val="30"/>
          <w:szCs w:val="30"/>
        </w:rPr>
      </w:pPr>
    </w:p>
    <w:p w14:paraId="6934B5B7" w14:textId="77777777" w:rsidR="00706097" w:rsidRDefault="00706097">
      <w:pPr>
        <w:jc w:val="center"/>
        <w:rPr>
          <w:rFonts w:ascii="黑体" w:eastAsia="黑体" w:hAnsi="黑体"/>
          <w:b/>
          <w:sz w:val="28"/>
          <w:szCs w:val="28"/>
        </w:rPr>
      </w:pPr>
    </w:p>
    <w:p w14:paraId="262C2837" w14:textId="77777777" w:rsidR="00706097" w:rsidRDefault="00DA6858">
      <w:pPr>
        <w:jc w:val="center"/>
        <w:rPr>
          <w:rFonts w:ascii="黑体" w:eastAsia="黑体" w:hAnsi="黑体"/>
          <w:b/>
          <w:sz w:val="28"/>
          <w:szCs w:val="28"/>
        </w:rPr>
      </w:pPr>
      <w:r>
        <w:rPr>
          <w:rFonts w:ascii="黑体" w:eastAsia="黑体" w:hAnsi="黑体" w:hint="eastAsia"/>
          <w:b/>
          <w:sz w:val="28"/>
          <w:szCs w:val="28"/>
        </w:rPr>
        <w:t>基金管理人：东海基金管理有限责任公司</w:t>
      </w:r>
    </w:p>
    <w:p w14:paraId="070F8DB1" w14:textId="77777777" w:rsidR="00706097" w:rsidRDefault="00DA6858">
      <w:pPr>
        <w:jc w:val="center"/>
        <w:rPr>
          <w:rFonts w:ascii="黑体" w:eastAsia="黑体" w:hAnsi="黑体"/>
          <w:b/>
          <w:sz w:val="28"/>
          <w:szCs w:val="28"/>
        </w:rPr>
      </w:pPr>
      <w:r>
        <w:rPr>
          <w:rFonts w:ascii="黑体" w:eastAsia="黑体" w:hAnsi="黑体" w:hint="eastAsia"/>
          <w:b/>
          <w:sz w:val="28"/>
          <w:szCs w:val="28"/>
        </w:rPr>
        <w:t>基金托管人：交通银行股份有限公司</w:t>
      </w:r>
    </w:p>
    <w:p w14:paraId="7ABB6C41" w14:textId="77777777" w:rsidR="00706097" w:rsidRDefault="00706097">
      <w:pPr>
        <w:spacing w:line="360" w:lineRule="auto"/>
        <w:ind w:firstLine="561"/>
        <w:jc w:val="center"/>
        <w:rPr>
          <w:b/>
          <w:sz w:val="24"/>
        </w:rPr>
      </w:pPr>
    </w:p>
    <w:p w14:paraId="0334F938" w14:textId="77777777" w:rsidR="00706097" w:rsidRDefault="00706097">
      <w:pPr>
        <w:spacing w:line="360" w:lineRule="auto"/>
        <w:ind w:firstLine="561"/>
        <w:jc w:val="center"/>
        <w:rPr>
          <w:b/>
          <w:sz w:val="24"/>
        </w:rPr>
      </w:pPr>
    </w:p>
    <w:p w14:paraId="224999B6" w14:textId="77777777" w:rsidR="00706097" w:rsidRDefault="00706097">
      <w:pPr>
        <w:spacing w:line="360" w:lineRule="auto"/>
        <w:ind w:firstLine="561"/>
        <w:jc w:val="center"/>
        <w:rPr>
          <w:b/>
          <w:sz w:val="24"/>
        </w:rPr>
      </w:pPr>
    </w:p>
    <w:p w14:paraId="7C9A8FB7" w14:textId="16433C56" w:rsidR="00706097" w:rsidRDefault="00DA6858">
      <w:pPr>
        <w:snapToGrid w:val="0"/>
        <w:spacing w:line="360" w:lineRule="auto"/>
        <w:jc w:val="center"/>
        <w:rPr>
          <w:rFonts w:ascii="宋体" w:hAnsi="宋体"/>
          <w:b/>
          <w:bCs/>
          <w:szCs w:val="21"/>
        </w:rPr>
        <w:sectPr w:rsidR="00706097">
          <w:headerReference w:type="default" r:id="rId9"/>
          <w:footerReference w:type="default" r:id="rId10"/>
          <w:headerReference w:type="first" r:id="rId11"/>
          <w:pgSz w:w="11906" w:h="16838"/>
          <w:pgMar w:top="1440" w:right="1800" w:bottom="1440" w:left="1800" w:header="851" w:footer="992" w:gutter="0"/>
          <w:pgNumType w:start="0"/>
          <w:cols w:space="425"/>
          <w:titlePg/>
          <w:docGrid w:type="lines" w:linePitch="312"/>
        </w:sectPr>
      </w:pPr>
      <w:r>
        <w:rPr>
          <w:rFonts w:ascii="黑体" w:eastAsia="黑体" w:hAnsi="黑体" w:hint="eastAsia"/>
          <w:b/>
          <w:sz w:val="28"/>
          <w:szCs w:val="28"/>
        </w:rPr>
        <w:t>二零二</w:t>
      </w:r>
      <w:r w:rsidR="00F73B72">
        <w:rPr>
          <w:rFonts w:ascii="黑体" w:eastAsia="黑体" w:hAnsi="黑体" w:hint="eastAsia"/>
          <w:bCs/>
          <w:sz w:val="28"/>
          <w:szCs w:val="28"/>
        </w:rPr>
        <w:t>三</w:t>
      </w:r>
      <w:r>
        <w:rPr>
          <w:rFonts w:ascii="黑体" w:eastAsia="黑体" w:hAnsi="黑体" w:hint="eastAsia"/>
          <w:b/>
          <w:sz w:val="28"/>
          <w:szCs w:val="28"/>
        </w:rPr>
        <w:t>年</w:t>
      </w:r>
      <w:r w:rsidR="00F73B72">
        <w:rPr>
          <w:rFonts w:ascii="黑体" w:eastAsia="黑体" w:hAnsi="黑体" w:hint="eastAsia"/>
          <w:b/>
          <w:sz w:val="28"/>
          <w:szCs w:val="28"/>
        </w:rPr>
        <w:t>三</w:t>
      </w:r>
      <w:r>
        <w:rPr>
          <w:rFonts w:ascii="黑体" w:eastAsia="黑体" w:hAnsi="黑体" w:hint="eastAsia"/>
          <w:b/>
          <w:sz w:val="28"/>
          <w:szCs w:val="28"/>
        </w:rPr>
        <w:t>月</w:t>
      </w:r>
    </w:p>
    <w:p w14:paraId="508863F4" w14:textId="77777777" w:rsidR="00706097" w:rsidRDefault="00DA6858">
      <w:pPr>
        <w:snapToGrid w:val="0"/>
        <w:spacing w:line="360" w:lineRule="auto"/>
        <w:jc w:val="center"/>
        <w:rPr>
          <w:rFonts w:ascii="宋体" w:hAnsi="宋体"/>
          <w:b/>
          <w:bCs/>
          <w:szCs w:val="21"/>
        </w:rPr>
      </w:pPr>
      <w:r>
        <w:rPr>
          <w:rFonts w:ascii="宋体" w:hAnsi="宋体" w:hint="eastAsia"/>
          <w:b/>
          <w:bCs/>
          <w:szCs w:val="21"/>
        </w:rPr>
        <w:lastRenderedPageBreak/>
        <w:t>重要提示</w:t>
      </w:r>
    </w:p>
    <w:p w14:paraId="1B6F66E1" w14:textId="77777777" w:rsidR="00706097" w:rsidRDefault="00706097">
      <w:pPr>
        <w:snapToGrid w:val="0"/>
        <w:spacing w:line="360" w:lineRule="auto"/>
        <w:jc w:val="center"/>
        <w:rPr>
          <w:rFonts w:ascii="宋体" w:hAnsi="宋体"/>
          <w:b/>
          <w:bCs/>
          <w:szCs w:val="21"/>
        </w:rPr>
      </w:pPr>
    </w:p>
    <w:p w14:paraId="1BCA740C"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hint="eastAsia"/>
          <w:szCs w:val="21"/>
        </w:rPr>
        <w:t>本基金经中国证监会2019年11</w:t>
      </w:r>
      <w:r>
        <w:rPr>
          <w:rFonts w:ascii="宋体" w:hAnsi="宋体"/>
          <w:szCs w:val="21"/>
        </w:rPr>
        <w:t>月</w:t>
      </w:r>
      <w:r>
        <w:rPr>
          <w:rFonts w:ascii="宋体" w:hAnsi="宋体" w:hint="eastAsia"/>
          <w:szCs w:val="21"/>
        </w:rPr>
        <w:t>25</w:t>
      </w:r>
      <w:r>
        <w:rPr>
          <w:rFonts w:ascii="宋体" w:hAnsi="宋体"/>
          <w:szCs w:val="21"/>
        </w:rPr>
        <w:t>日证监许可</w:t>
      </w:r>
      <w:r>
        <w:rPr>
          <w:rFonts w:ascii="宋体" w:hAnsi="宋体" w:hint="eastAsia"/>
          <w:szCs w:val="21"/>
        </w:rPr>
        <w:t>【2019】2494</w:t>
      </w:r>
      <w:r>
        <w:rPr>
          <w:rFonts w:ascii="宋体" w:hAnsi="宋体"/>
          <w:szCs w:val="21"/>
        </w:rPr>
        <w:t>号</w:t>
      </w:r>
      <w:proofErr w:type="gramStart"/>
      <w:r>
        <w:rPr>
          <w:rFonts w:ascii="宋体" w:hAnsi="宋体"/>
          <w:szCs w:val="21"/>
        </w:rPr>
        <w:t>文注册</w:t>
      </w:r>
      <w:proofErr w:type="gramEnd"/>
      <w:r>
        <w:rPr>
          <w:rFonts w:ascii="宋体" w:hAnsi="宋体"/>
          <w:szCs w:val="21"/>
        </w:rPr>
        <w:t>募集</w:t>
      </w:r>
      <w:r>
        <w:rPr>
          <w:rFonts w:ascii="宋体" w:hAnsi="宋体" w:hint="eastAsia"/>
          <w:szCs w:val="21"/>
        </w:rPr>
        <w:t>。</w:t>
      </w:r>
    </w:p>
    <w:p w14:paraId="40D2AD93"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hint="eastAsia"/>
          <w:szCs w:val="21"/>
        </w:rPr>
        <w:t>基金管理人保证招募说明书的内容真实、准确、完整。本招募说明书经中国证监会注册，但中国证监会对本基金募集的注册，并不表明其对本基金的投资价值和市场前景做出实质性判断或保证，也不表明投资于本基金没有风险。中国证监会不对基金的投资价值及市场前景等</w:t>
      </w:r>
      <w:proofErr w:type="gramStart"/>
      <w:r>
        <w:rPr>
          <w:rFonts w:ascii="宋体" w:hAnsi="宋体" w:hint="eastAsia"/>
          <w:szCs w:val="21"/>
        </w:rPr>
        <w:t>作出</w:t>
      </w:r>
      <w:proofErr w:type="gramEnd"/>
      <w:r>
        <w:rPr>
          <w:rFonts w:ascii="宋体" w:hAnsi="宋体" w:hint="eastAsia"/>
          <w:szCs w:val="21"/>
        </w:rPr>
        <w:t>实质性判断或者保证。</w:t>
      </w:r>
    </w:p>
    <w:p w14:paraId="6D59C999"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hint="eastAsia"/>
          <w:szCs w:val="21"/>
        </w:rPr>
        <w:t>投资有风险，投资人在投资本基金前，应全面了解本基金的风险收益特征和产品特性，充分考虑自身的风险承受能力，理性判断市场</w:t>
      </w:r>
      <w:r>
        <w:rPr>
          <w:rFonts w:ascii="宋体" w:hAnsi="宋体"/>
          <w:szCs w:val="21"/>
        </w:rPr>
        <w:t>。投资人根据所持有份额享受基金的收益，但同时也需承担相应的投资风险</w:t>
      </w:r>
      <w:r>
        <w:rPr>
          <w:rFonts w:ascii="宋体" w:hAnsi="宋体" w:hint="eastAsia"/>
          <w:szCs w:val="21"/>
        </w:rPr>
        <w:t>。</w:t>
      </w:r>
    </w:p>
    <w:p w14:paraId="2897F3AF"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szCs w:val="21"/>
        </w:rPr>
        <w:t>本基金集中投资于固定收益类资产，</w:t>
      </w:r>
      <w:r>
        <w:rPr>
          <w:rFonts w:ascii="宋体" w:hAnsi="宋体" w:hint="eastAsia"/>
          <w:szCs w:val="21"/>
        </w:rPr>
        <w:t>存在的风险</w:t>
      </w:r>
      <w:r>
        <w:rPr>
          <w:rFonts w:ascii="宋体" w:hAnsi="宋体"/>
          <w:szCs w:val="21"/>
        </w:rPr>
        <w:t>主要有：</w:t>
      </w:r>
      <w:r>
        <w:rPr>
          <w:rFonts w:ascii="宋体" w:hAnsi="宋体" w:hint="eastAsia"/>
          <w:szCs w:val="21"/>
        </w:rPr>
        <w:t>市场风险、开放式基金共有的风险（管理风险、流动性风险、其他风险）、本基金特有的风险、本基金法律文件风险收益特征表述与销售机构基金风险评价可能不一致的风险等</w:t>
      </w:r>
      <w:r>
        <w:rPr>
          <w:rFonts w:ascii="宋体" w:hAnsi="宋体"/>
          <w:szCs w:val="21"/>
        </w:rPr>
        <w:t>。</w:t>
      </w:r>
    </w:p>
    <w:p w14:paraId="686C5936"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szCs w:val="21"/>
        </w:rPr>
        <w:t>本基金的投资范围包括资产支持证券。资产支持证券存在信用风险、利率风险、流动性风险、提前偿付风险、操作风险和法律风险等。</w:t>
      </w:r>
    </w:p>
    <w:p w14:paraId="1FA76840" w14:textId="77777777" w:rsidR="00706097" w:rsidRDefault="00DA6858">
      <w:pPr>
        <w:numPr>
          <w:ilvl w:val="12"/>
          <w:numId w:val="0"/>
        </w:numPr>
        <w:snapToGrid w:val="0"/>
        <w:spacing w:line="360" w:lineRule="auto"/>
        <w:ind w:firstLineChars="196" w:firstLine="412"/>
        <w:rPr>
          <w:rFonts w:ascii="宋体" w:hAnsi="宋体"/>
          <w:szCs w:val="21"/>
        </w:rPr>
      </w:pPr>
      <w:r>
        <w:rPr>
          <w:rFonts w:ascii="宋体" w:hAnsi="宋体"/>
          <w:szCs w:val="21"/>
        </w:rPr>
        <w:t>本基金为债券型基金，主要投资于固定收益类资产，本基金</w:t>
      </w:r>
      <w:r>
        <w:rPr>
          <w:rFonts w:ascii="宋体" w:hAnsi="宋体" w:hint="eastAsia"/>
          <w:bCs/>
          <w:szCs w:val="21"/>
        </w:rPr>
        <w:t>不投资于股票，</w:t>
      </w:r>
      <w:r>
        <w:rPr>
          <w:rFonts w:ascii="宋体" w:hAnsi="宋体"/>
          <w:bCs/>
          <w:szCs w:val="21"/>
        </w:rPr>
        <w:t>也不投资于可转换债券（可分离交易可转债的</w:t>
      </w:r>
      <w:proofErr w:type="gramStart"/>
      <w:r>
        <w:rPr>
          <w:rFonts w:ascii="宋体" w:hAnsi="宋体"/>
          <w:bCs/>
          <w:szCs w:val="21"/>
        </w:rPr>
        <w:t>纯债部分</w:t>
      </w:r>
      <w:proofErr w:type="gramEnd"/>
      <w:r>
        <w:rPr>
          <w:rFonts w:ascii="宋体" w:hAnsi="宋体"/>
          <w:bCs/>
          <w:szCs w:val="21"/>
        </w:rPr>
        <w:t>除外）、可交换债券</w:t>
      </w:r>
      <w:r>
        <w:rPr>
          <w:rFonts w:ascii="宋体" w:hAnsi="宋体"/>
          <w:szCs w:val="21"/>
        </w:rPr>
        <w:t>。本基金的</w:t>
      </w:r>
      <w:r>
        <w:rPr>
          <w:rFonts w:ascii="宋体" w:hAnsi="宋体" w:hint="eastAsia"/>
          <w:szCs w:val="21"/>
        </w:rPr>
        <w:t>预期</w:t>
      </w:r>
      <w:r>
        <w:rPr>
          <w:rFonts w:ascii="宋体" w:hAnsi="宋体"/>
          <w:szCs w:val="21"/>
        </w:rPr>
        <w:t>风险与预期收益高于货币市场基金，低于混合型基金和股票型基金。</w:t>
      </w:r>
      <w:r>
        <w:rPr>
          <w:rFonts w:ascii="宋体" w:hAnsi="宋体" w:hint="eastAsia"/>
          <w:szCs w:val="21"/>
        </w:rPr>
        <w:t>基金的过往业绩并不预示其未来表现。</w:t>
      </w:r>
    </w:p>
    <w:p w14:paraId="74572DD9" w14:textId="77777777" w:rsidR="00706097" w:rsidRDefault="00DA6858">
      <w:pPr>
        <w:numPr>
          <w:ilvl w:val="12"/>
          <w:numId w:val="0"/>
        </w:numPr>
        <w:snapToGrid w:val="0"/>
        <w:spacing w:line="360" w:lineRule="auto"/>
        <w:ind w:firstLineChars="196" w:firstLine="412"/>
        <w:rPr>
          <w:rFonts w:ascii="宋体" w:hAnsi="宋体"/>
          <w:bCs/>
          <w:szCs w:val="21"/>
        </w:rPr>
      </w:pPr>
      <w:r>
        <w:rPr>
          <w:rFonts w:ascii="宋体" w:hAnsi="宋体" w:hint="eastAsia"/>
          <w:szCs w:val="21"/>
        </w:rPr>
        <w:t>基金管理人依照恪尽职守、诚实信用、谨慎勤勉的原则管理和运用基金资产，但不保证基金一定盈利，也不保证最低收益。</w:t>
      </w:r>
      <w:r>
        <w:rPr>
          <w:rFonts w:ascii="宋体" w:hAnsi="宋体" w:hint="eastAsia"/>
          <w:bCs/>
          <w:szCs w:val="21"/>
        </w:rPr>
        <w:t>本基金的过往业绩及其净值高低并不预示其未来业绩表现；基金管理人管理的其他基金的业绩也不构成对本基金业绩表现的保证。基金管理人提醒投资人基金投资的“买者自负”原则，在投资人</w:t>
      </w:r>
      <w:proofErr w:type="gramStart"/>
      <w:r>
        <w:rPr>
          <w:rFonts w:ascii="宋体" w:hAnsi="宋体" w:hint="eastAsia"/>
          <w:bCs/>
          <w:szCs w:val="21"/>
        </w:rPr>
        <w:t>作出</w:t>
      </w:r>
      <w:proofErr w:type="gramEnd"/>
      <w:r>
        <w:rPr>
          <w:rFonts w:ascii="宋体" w:hAnsi="宋体" w:hint="eastAsia"/>
          <w:bCs/>
          <w:szCs w:val="21"/>
        </w:rPr>
        <w:t>投资决策后，基金运营状况与基金净值变化引致的投资风险，由投资人自行负担。</w:t>
      </w:r>
    </w:p>
    <w:p w14:paraId="4F86CC6D" w14:textId="77777777" w:rsidR="00706097" w:rsidRDefault="00DA6858">
      <w:pPr>
        <w:numPr>
          <w:ilvl w:val="12"/>
          <w:numId w:val="0"/>
        </w:numPr>
        <w:snapToGrid w:val="0"/>
        <w:spacing w:line="360" w:lineRule="auto"/>
        <w:ind w:firstLineChars="196" w:firstLine="412"/>
        <w:rPr>
          <w:rFonts w:ascii="宋体" w:hAnsi="宋体"/>
          <w:bCs/>
          <w:szCs w:val="21"/>
        </w:rPr>
      </w:pPr>
      <w:r>
        <w:rPr>
          <w:rFonts w:ascii="宋体" w:hAnsi="宋体"/>
          <w:bCs/>
          <w:szCs w:val="21"/>
        </w:rPr>
        <w:t>本基金在募集成立时及运作过程中，单一投资者持有的基金份额数不得达到或超过基金份额总数的50%，但在基金运作过程中因基金份额赎回等情形导致被动达到或超过前述50%比例的除外。</w:t>
      </w:r>
    </w:p>
    <w:p w14:paraId="21A2E075" w14:textId="77777777" w:rsidR="00F73B72" w:rsidRDefault="00F73B72" w:rsidP="00F73B72">
      <w:pPr>
        <w:numPr>
          <w:ilvl w:val="12"/>
          <w:numId w:val="0"/>
        </w:numPr>
        <w:snapToGrid w:val="0"/>
        <w:spacing w:line="360" w:lineRule="auto"/>
        <w:ind w:firstLineChars="196" w:firstLine="412"/>
        <w:jc w:val="left"/>
        <w:rPr>
          <w:rFonts w:ascii="宋体" w:hAnsi="宋体"/>
          <w:bCs/>
          <w:szCs w:val="21"/>
          <w:lang w:val="zh-CN"/>
        </w:rPr>
      </w:pPr>
      <w:bookmarkStart w:id="1" w:name="_Toc360794511"/>
      <w:bookmarkStart w:id="2" w:name="_Toc215629791"/>
      <w:bookmarkStart w:id="3" w:name="_Toc362533450"/>
      <w:bookmarkStart w:id="4" w:name="_Toc360793493"/>
      <w:bookmarkStart w:id="5" w:name="_Toc360794403"/>
      <w:bookmarkStart w:id="6" w:name="_Toc360794095"/>
      <w:bookmarkStart w:id="7" w:name="_Toc350789211"/>
      <w:bookmarkStart w:id="8" w:name="_Toc362455178"/>
      <w:bookmarkStart w:id="9" w:name="_Toc360793845"/>
      <w:bookmarkStart w:id="10" w:name="_Toc73936074"/>
      <w:bookmarkStart w:id="11" w:name="_Toc80103054"/>
      <w:bookmarkStart w:id="12" w:name="_Toc79132642"/>
      <w:r>
        <w:rPr>
          <w:rFonts w:ascii="宋体" w:hAnsi="宋体" w:hint="eastAsia"/>
          <w:bCs/>
          <w:szCs w:val="21"/>
          <w:lang w:val="zh-CN"/>
        </w:rPr>
        <w:t>本次招募说明书对基金管理人信息、基金托管人信息、基金服务机构信息、投资组合报告、基金的业绩、其他应披露事项等内容更新，</w:t>
      </w:r>
      <w:r>
        <w:rPr>
          <w:rFonts w:ascii="宋体" w:hAnsi="宋体" w:hint="eastAsia"/>
          <w:bCs/>
          <w:szCs w:val="21"/>
        </w:rPr>
        <w:t>除非另有说明，</w:t>
      </w:r>
      <w:r>
        <w:rPr>
          <w:rFonts w:ascii="宋体" w:hAnsi="宋体" w:hint="eastAsia"/>
          <w:bCs/>
          <w:szCs w:val="21"/>
          <w:lang w:val="zh-CN"/>
        </w:rPr>
        <w:t>本招募说明书所载内容截止日为202</w:t>
      </w:r>
      <w:r>
        <w:rPr>
          <w:rFonts w:ascii="宋体" w:hAnsi="宋体"/>
          <w:bCs/>
          <w:szCs w:val="21"/>
          <w:lang w:val="zh-CN"/>
        </w:rPr>
        <w:t>3</w:t>
      </w:r>
      <w:r>
        <w:rPr>
          <w:rFonts w:ascii="宋体" w:hAnsi="宋体" w:hint="eastAsia"/>
          <w:bCs/>
          <w:szCs w:val="21"/>
          <w:lang w:val="zh-CN"/>
        </w:rPr>
        <w:t>年3月</w:t>
      </w:r>
      <w:r>
        <w:rPr>
          <w:rFonts w:ascii="宋体" w:hAnsi="宋体"/>
          <w:bCs/>
          <w:szCs w:val="21"/>
        </w:rPr>
        <w:t>20</w:t>
      </w:r>
      <w:r>
        <w:rPr>
          <w:rFonts w:ascii="宋体" w:hAnsi="宋体" w:hint="eastAsia"/>
          <w:bCs/>
          <w:szCs w:val="21"/>
          <w:lang w:val="zh-CN"/>
        </w:rPr>
        <w:t>日，有关财务数据和净值表现截止日为202</w:t>
      </w:r>
      <w:r>
        <w:rPr>
          <w:rFonts w:ascii="宋体" w:hAnsi="宋体"/>
          <w:bCs/>
          <w:szCs w:val="21"/>
          <w:lang w:val="zh-CN"/>
        </w:rPr>
        <w:t>2</w:t>
      </w:r>
      <w:r>
        <w:rPr>
          <w:rFonts w:ascii="宋体" w:hAnsi="宋体" w:hint="eastAsia"/>
          <w:bCs/>
          <w:szCs w:val="21"/>
          <w:lang w:val="zh-CN"/>
        </w:rPr>
        <w:t>年12月31日（财务数据未经审计）。本招募说明书已经基金托管人复核。</w:t>
      </w:r>
    </w:p>
    <w:p w14:paraId="73B952A2" w14:textId="77777777" w:rsidR="00706097" w:rsidRDefault="00706097">
      <w:pPr>
        <w:rPr>
          <w:lang w:val="zh-CN"/>
        </w:rPr>
      </w:pPr>
    </w:p>
    <w:p w14:paraId="27A3FA21" w14:textId="77777777" w:rsidR="00706097" w:rsidRDefault="00706097">
      <w:pPr>
        <w:rPr>
          <w:lang w:val="zh-CN"/>
        </w:rPr>
      </w:pPr>
    </w:p>
    <w:p w14:paraId="58BF8AF2" w14:textId="77777777" w:rsidR="00706097" w:rsidRDefault="00706097">
      <w:pPr>
        <w:rPr>
          <w:lang w:val="zh-CN"/>
        </w:rPr>
      </w:pPr>
    </w:p>
    <w:p w14:paraId="47424047" w14:textId="77777777" w:rsidR="00706097" w:rsidRDefault="00706097">
      <w:pPr>
        <w:rPr>
          <w:lang w:val="zh-CN"/>
        </w:rPr>
      </w:pPr>
    </w:p>
    <w:p w14:paraId="53A8BFE1" w14:textId="77777777" w:rsidR="00706097" w:rsidRDefault="00DA6858">
      <w:pPr>
        <w:numPr>
          <w:ilvl w:val="12"/>
          <w:numId w:val="0"/>
        </w:numPr>
        <w:snapToGrid w:val="0"/>
        <w:spacing w:line="360" w:lineRule="auto"/>
        <w:ind w:firstLineChars="196" w:firstLine="413"/>
        <w:jc w:val="center"/>
        <w:rPr>
          <w:rFonts w:ascii="宋体" w:hAnsi="宋体" w:cs="宋体"/>
          <w:szCs w:val="22"/>
        </w:rPr>
      </w:pPr>
      <w:r>
        <w:rPr>
          <w:rFonts w:ascii="宋体" w:hAnsi="宋体" w:cs="宋体" w:hint="eastAsia"/>
          <w:b/>
          <w:bCs/>
          <w:szCs w:val="22"/>
        </w:rPr>
        <w:lastRenderedPageBreak/>
        <w:t>目  录</w:t>
      </w:r>
    </w:p>
    <w:p w14:paraId="0BD5FDA6" w14:textId="77777777" w:rsidR="00706097" w:rsidRDefault="00DA6858">
      <w:pPr>
        <w:pStyle w:val="25"/>
        <w:rPr>
          <w:rFonts w:asciiTheme="minorHAnsi" w:eastAsiaTheme="minorEastAsia" w:hAnsiTheme="minorHAnsi" w:cstheme="minorBidi"/>
          <w:szCs w:val="22"/>
        </w:rPr>
      </w:pPr>
      <w:r>
        <w:fldChar w:fldCharType="begin"/>
      </w:r>
      <w:r>
        <w:instrText xml:space="preserve"> TOC \o "1-3" \h \z \u </w:instrText>
      </w:r>
      <w:r>
        <w:fldChar w:fldCharType="separate"/>
      </w:r>
      <w:hyperlink w:anchor="_Toc76483003" w:history="1">
        <w:r>
          <w:rPr>
            <w:rStyle w:val="afff2"/>
            <w:rFonts w:ascii="宋体" w:hAnsi="宋体"/>
            <w:color w:val="auto"/>
          </w:rPr>
          <w:t>第一部分</w:t>
        </w:r>
        <w:r>
          <w:rPr>
            <w:rFonts w:asciiTheme="minorHAnsi" w:eastAsiaTheme="minorEastAsia" w:hAnsiTheme="minorHAnsi" w:cstheme="minorBidi"/>
            <w:szCs w:val="22"/>
          </w:rPr>
          <w:tab/>
        </w:r>
        <w:r>
          <w:rPr>
            <w:rStyle w:val="afff2"/>
            <w:rFonts w:ascii="宋体" w:hAnsi="宋体"/>
            <w:color w:val="auto"/>
          </w:rPr>
          <w:t>绪言</w:t>
        </w:r>
        <w:r>
          <w:tab/>
        </w:r>
        <w:r>
          <w:fldChar w:fldCharType="begin"/>
        </w:r>
        <w:r>
          <w:instrText xml:space="preserve"> PAGEREF _Toc76483003 \h </w:instrText>
        </w:r>
        <w:r>
          <w:fldChar w:fldCharType="separate"/>
        </w:r>
        <w:r>
          <w:t>2</w:t>
        </w:r>
        <w:r>
          <w:fldChar w:fldCharType="end"/>
        </w:r>
      </w:hyperlink>
    </w:p>
    <w:p w14:paraId="2B7073CA" w14:textId="77777777" w:rsidR="00706097" w:rsidRDefault="00174906">
      <w:pPr>
        <w:pStyle w:val="25"/>
        <w:rPr>
          <w:rFonts w:asciiTheme="minorHAnsi" w:eastAsiaTheme="minorEastAsia" w:hAnsiTheme="minorHAnsi" w:cstheme="minorBidi"/>
          <w:szCs w:val="22"/>
        </w:rPr>
      </w:pPr>
      <w:hyperlink w:anchor="_Toc76483004" w:history="1">
        <w:r w:rsidR="00DA6858">
          <w:rPr>
            <w:rStyle w:val="afff2"/>
            <w:rFonts w:ascii="宋体" w:hAnsi="宋体"/>
            <w:color w:val="auto"/>
          </w:rPr>
          <w:t>第二部分</w:t>
        </w:r>
        <w:r w:rsidR="00DA6858">
          <w:rPr>
            <w:rFonts w:asciiTheme="minorHAnsi" w:eastAsiaTheme="minorEastAsia" w:hAnsiTheme="minorHAnsi" w:cstheme="minorBidi"/>
            <w:szCs w:val="22"/>
          </w:rPr>
          <w:tab/>
        </w:r>
        <w:r w:rsidR="00DA6858">
          <w:rPr>
            <w:rStyle w:val="afff2"/>
            <w:rFonts w:ascii="宋体" w:hAnsi="宋体"/>
            <w:color w:val="auto"/>
          </w:rPr>
          <w:t>释义</w:t>
        </w:r>
        <w:r w:rsidR="00DA6858">
          <w:tab/>
        </w:r>
        <w:r w:rsidR="00DA6858">
          <w:fldChar w:fldCharType="begin"/>
        </w:r>
        <w:r w:rsidR="00DA6858">
          <w:instrText xml:space="preserve"> PAGEREF _Toc76483004 \h </w:instrText>
        </w:r>
        <w:r w:rsidR="00DA6858">
          <w:fldChar w:fldCharType="separate"/>
        </w:r>
        <w:r w:rsidR="00DA6858">
          <w:t>3</w:t>
        </w:r>
        <w:r w:rsidR="00DA6858">
          <w:fldChar w:fldCharType="end"/>
        </w:r>
      </w:hyperlink>
    </w:p>
    <w:p w14:paraId="1416E5DA" w14:textId="77777777" w:rsidR="00706097" w:rsidRDefault="00174906">
      <w:pPr>
        <w:pStyle w:val="25"/>
        <w:rPr>
          <w:rFonts w:asciiTheme="minorHAnsi" w:eastAsiaTheme="minorEastAsia" w:hAnsiTheme="minorHAnsi" w:cstheme="minorBidi"/>
          <w:szCs w:val="22"/>
        </w:rPr>
      </w:pPr>
      <w:hyperlink w:anchor="_Toc76483005" w:history="1">
        <w:r w:rsidR="00DA6858">
          <w:rPr>
            <w:rStyle w:val="afff2"/>
            <w:rFonts w:ascii="宋体" w:hAnsi="宋体"/>
            <w:color w:val="auto"/>
          </w:rPr>
          <w:t>第三部分</w:t>
        </w:r>
        <w:r w:rsidR="00DA6858">
          <w:rPr>
            <w:rFonts w:asciiTheme="minorHAnsi" w:eastAsiaTheme="minorEastAsia" w:hAnsiTheme="minorHAnsi" w:cstheme="minorBidi"/>
            <w:szCs w:val="22"/>
          </w:rPr>
          <w:tab/>
        </w:r>
        <w:r w:rsidR="00DA6858">
          <w:rPr>
            <w:rStyle w:val="afff2"/>
            <w:rFonts w:ascii="宋体" w:hAnsi="宋体"/>
            <w:color w:val="auto"/>
          </w:rPr>
          <w:t>基金管理人</w:t>
        </w:r>
        <w:r w:rsidR="00DA6858">
          <w:tab/>
        </w:r>
        <w:r w:rsidR="00DA6858">
          <w:fldChar w:fldCharType="begin"/>
        </w:r>
        <w:r w:rsidR="00DA6858">
          <w:instrText xml:space="preserve"> PAGEREF _Toc76483005 \h </w:instrText>
        </w:r>
        <w:r w:rsidR="00DA6858">
          <w:fldChar w:fldCharType="separate"/>
        </w:r>
        <w:r w:rsidR="00DA6858">
          <w:t>7</w:t>
        </w:r>
        <w:r w:rsidR="00DA6858">
          <w:fldChar w:fldCharType="end"/>
        </w:r>
      </w:hyperlink>
    </w:p>
    <w:p w14:paraId="4D7C8B06" w14:textId="77777777" w:rsidR="00706097" w:rsidRDefault="00174906">
      <w:pPr>
        <w:pStyle w:val="25"/>
        <w:rPr>
          <w:rFonts w:asciiTheme="minorHAnsi" w:eastAsiaTheme="minorEastAsia" w:hAnsiTheme="minorHAnsi" w:cstheme="minorBidi"/>
          <w:szCs w:val="22"/>
        </w:rPr>
      </w:pPr>
      <w:hyperlink w:anchor="_Toc76483006" w:history="1">
        <w:r w:rsidR="00DA6858">
          <w:rPr>
            <w:rStyle w:val="afff2"/>
            <w:rFonts w:ascii="宋体" w:hAnsi="宋体"/>
            <w:color w:val="auto"/>
          </w:rPr>
          <w:t>第四部分</w:t>
        </w:r>
        <w:r w:rsidR="00DA6858">
          <w:rPr>
            <w:rFonts w:asciiTheme="minorHAnsi" w:eastAsiaTheme="minorEastAsia" w:hAnsiTheme="minorHAnsi" w:cstheme="minorBidi"/>
            <w:szCs w:val="22"/>
          </w:rPr>
          <w:tab/>
        </w:r>
        <w:r w:rsidR="00DA6858">
          <w:rPr>
            <w:rStyle w:val="afff2"/>
            <w:rFonts w:ascii="宋体" w:hAnsi="宋体"/>
            <w:color w:val="auto"/>
          </w:rPr>
          <w:t>基金托管人</w:t>
        </w:r>
        <w:r w:rsidR="00DA6858">
          <w:tab/>
        </w:r>
        <w:r w:rsidR="00DA6858">
          <w:fldChar w:fldCharType="begin"/>
        </w:r>
        <w:r w:rsidR="00DA6858">
          <w:instrText xml:space="preserve"> PAGEREF _Toc76483006 \h </w:instrText>
        </w:r>
        <w:r w:rsidR="00DA6858">
          <w:fldChar w:fldCharType="separate"/>
        </w:r>
        <w:r w:rsidR="00DA6858">
          <w:t>14</w:t>
        </w:r>
        <w:r w:rsidR="00DA6858">
          <w:fldChar w:fldCharType="end"/>
        </w:r>
      </w:hyperlink>
    </w:p>
    <w:p w14:paraId="3DEE532D" w14:textId="77777777" w:rsidR="00706097" w:rsidRDefault="00174906">
      <w:pPr>
        <w:pStyle w:val="25"/>
        <w:rPr>
          <w:rFonts w:asciiTheme="minorHAnsi" w:eastAsiaTheme="minorEastAsia" w:hAnsiTheme="minorHAnsi" w:cstheme="minorBidi"/>
          <w:szCs w:val="22"/>
        </w:rPr>
      </w:pPr>
      <w:hyperlink w:anchor="_Toc76483007" w:history="1">
        <w:r w:rsidR="00DA6858">
          <w:rPr>
            <w:rStyle w:val="afff2"/>
            <w:rFonts w:ascii="宋体" w:hAnsi="宋体"/>
            <w:color w:val="auto"/>
          </w:rPr>
          <w:t>第五部分</w:t>
        </w:r>
        <w:r w:rsidR="00DA6858">
          <w:rPr>
            <w:rFonts w:asciiTheme="minorHAnsi" w:eastAsiaTheme="minorEastAsia" w:hAnsiTheme="minorHAnsi" w:cstheme="minorBidi"/>
            <w:szCs w:val="22"/>
          </w:rPr>
          <w:tab/>
        </w:r>
        <w:r w:rsidR="00DA6858">
          <w:rPr>
            <w:rStyle w:val="afff2"/>
            <w:rFonts w:ascii="宋体" w:hAnsi="宋体"/>
            <w:color w:val="auto"/>
          </w:rPr>
          <w:t>相关服务机构</w:t>
        </w:r>
        <w:r w:rsidR="00DA6858">
          <w:tab/>
        </w:r>
        <w:r w:rsidR="00DA6858">
          <w:fldChar w:fldCharType="begin"/>
        </w:r>
        <w:r w:rsidR="00DA6858">
          <w:instrText xml:space="preserve"> PAGEREF _Toc76483007 \h </w:instrText>
        </w:r>
        <w:r w:rsidR="00DA6858">
          <w:fldChar w:fldCharType="separate"/>
        </w:r>
        <w:r w:rsidR="00DA6858">
          <w:t>18</w:t>
        </w:r>
        <w:r w:rsidR="00DA6858">
          <w:fldChar w:fldCharType="end"/>
        </w:r>
      </w:hyperlink>
    </w:p>
    <w:p w14:paraId="7AF9B1B2" w14:textId="77777777" w:rsidR="00706097" w:rsidRDefault="00174906">
      <w:pPr>
        <w:pStyle w:val="25"/>
        <w:rPr>
          <w:rFonts w:asciiTheme="minorHAnsi" w:eastAsiaTheme="minorEastAsia" w:hAnsiTheme="minorHAnsi" w:cstheme="minorBidi"/>
          <w:szCs w:val="22"/>
        </w:rPr>
      </w:pPr>
      <w:hyperlink w:anchor="_Toc76483008" w:history="1">
        <w:r w:rsidR="00DA6858">
          <w:rPr>
            <w:rStyle w:val="afff2"/>
            <w:rFonts w:ascii="宋体" w:hAnsi="宋体"/>
            <w:color w:val="auto"/>
          </w:rPr>
          <w:t>第六部分</w:t>
        </w:r>
        <w:r w:rsidR="00DA6858">
          <w:rPr>
            <w:rFonts w:asciiTheme="minorHAnsi" w:eastAsiaTheme="minorEastAsia" w:hAnsiTheme="minorHAnsi" w:cstheme="minorBidi"/>
            <w:szCs w:val="22"/>
          </w:rPr>
          <w:tab/>
        </w:r>
        <w:r w:rsidR="00DA6858">
          <w:rPr>
            <w:rStyle w:val="afff2"/>
            <w:rFonts w:ascii="宋体" w:hAnsi="宋体"/>
            <w:color w:val="auto"/>
          </w:rPr>
          <w:t>基金募集</w:t>
        </w:r>
        <w:r w:rsidR="00DA6858">
          <w:tab/>
        </w:r>
        <w:r w:rsidR="00DA6858">
          <w:fldChar w:fldCharType="begin"/>
        </w:r>
        <w:r w:rsidR="00DA6858">
          <w:instrText xml:space="preserve"> PAGEREF _Toc76483008 \h </w:instrText>
        </w:r>
        <w:r w:rsidR="00DA6858">
          <w:fldChar w:fldCharType="separate"/>
        </w:r>
        <w:r w:rsidR="00DA6858">
          <w:t>25</w:t>
        </w:r>
        <w:r w:rsidR="00DA6858">
          <w:fldChar w:fldCharType="end"/>
        </w:r>
      </w:hyperlink>
    </w:p>
    <w:p w14:paraId="5822FD63" w14:textId="77777777" w:rsidR="00706097" w:rsidRDefault="00174906">
      <w:pPr>
        <w:pStyle w:val="25"/>
        <w:rPr>
          <w:rFonts w:asciiTheme="minorHAnsi" w:eastAsiaTheme="minorEastAsia" w:hAnsiTheme="minorHAnsi" w:cstheme="minorBidi"/>
          <w:szCs w:val="22"/>
        </w:rPr>
      </w:pPr>
      <w:hyperlink w:anchor="_Toc76483009" w:history="1">
        <w:r w:rsidR="00DA6858">
          <w:rPr>
            <w:rStyle w:val="afff2"/>
            <w:rFonts w:ascii="宋体" w:hAnsi="宋体"/>
            <w:color w:val="auto"/>
          </w:rPr>
          <w:t>第七部分</w:t>
        </w:r>
        <w:r w:rsidR="00DA6858">
          <w:rPr>
            <w:rFonts w:asciiTheme="minorHAnsi" w:eastAsiaTheme="minorEastAsia" w:hAnsiTheme="minorHAnsi" w:cstheme="minorBidi"/>
            <w:szCs w:val="22"/>
          </w:rPr>
          <w:tab/>
        </w:r>
        <w:r w:rsidR="00DA6858">
          <w:rPr>
            <w:rStyle w:val="afff2"/>
            <w:rFonts w:ascii="宋体" w:hAnsi="宋体"/>
            <w:color w:val="auto"/>
          </w:rPr>
          <w:t>基金合同的生效</w:t>
        </w:r>
        <w:r w:rsidR="00DA6858">
          <w:tab/>
        </w:r>
        <w:r w:rsidR="00DA6858">
          <w:fldChar w:fldCharType="begin"/>
        </w:r>
        <w:r w:rsidR="00DA6858">
          <w:instrText xml:space="preserve"> PAGEREF _Toc76483009 \h </w:instrText>
        </w:r>
        <w:r w:rsidR="00DA6858">
          <w:fldChar w:fldCharType="separate"/>
        </w:r>
        <w:r w:rsidR="00DA6858">
          <w:t>26</w:t>
        </w:r>
        <w:r w:rsidR="00DA6858">
          <w:fldChar w:fldCharType="end"/>
        </w:r>
      </w:hyperlink>
    </w:p>
    <w:p w14:paraId="515FA564" w14:textId="77777777" w:rsidR="00706097" w:rsidRDefault="00174906">
      <w:pPr>
        <w:pStyle w:val="25"/>
        <w:rPr>
          <w:rFonts w:asciiTheme="minorHAnsi" w:eastAsiaTheme="minorEastAsia" w:hAnsiTheme="minorHAnsi" w:cstheme="minorBidi"/>
          <w:szCs w:val="22"/>
        </w:rPr>
      </w:pPr>
      <w:hyperlink w:anchor="_Toc76483010" w:history="1">
        <w:r w:rsidR="00DA6858">
          <w:rPr>
            <w:rStyle w:val="afff2"/>
            <w:rFonts w:ascii="宋体" w:hAnsi="宋体"/>
            <w:color w:val="auto"/>
          </w:rPr>
          <w:t>第八部分</w:t>
        </w:r>
        <w:r w:rsidR="00DA6858">
          <w:rPr>
            <w:rFonts w:asciiTheme="minorHAnsi" w:eastAsiaTheme="minorEastAsia" w:hAnsiTheme="minorHAnsi" w:cstheme="minorBidi"/>
            <w:szCs w:val="22"/>
          </w:rPr>
          <w:tab/>
        </w:r>
        <w:r w:rsidR="00DA6858">
          <w:rPr>
            <w:rStyle w:val="afff2"/>
            <w:rFonts w:ascii="宋体" w:hAnsi="宋体"/>
            <w:color w:val="auto"/>
          </w:rPr>
          <w:t>基金份额的申购和赎回</w:t>
        </w:r>
        <w:r w:rsidR="00DA6858">
          <w:tab/>
        </w:r>
        <w:r w:rsidR="00DA6858">
          <w:fldChar w:fldCharType="begin"/>
        </w:r>
        <w:r w:rsidR="00DA6858">
          <w:instrText xml:space="preserve"> PAGEREF _Toc76483010 \h </w:instrText>
        </w:r>
        <w:r w:rsidR="00DA6858">
          <w:fldChar w:fldCharType="separate"/>
        </w:r>
        <w:r w:rsidR="00DA6858">
          <w:t>27</w:t>
        </w:r>
        <w:r w:rsidR="00DA6858">
          <w:fldChar w:fldCharType="end"/>
        </w:r>
      </w:hyperlink>
    </w:p>
    <w:p w14:paraId="5D58D2C8" w14:textId="77777777" w:rsidR="00706097" w:rsidRDefault="00174906">
      <w:pPr>
        <w:pStyle w:val="25"/>
        <w:rPr>
          <w:rFonts w:asciiTheme="minorHAnsi" w:eastAsiaTheme="minorEastAsia" w:hAnsiTheme="minorHAnsi" w:cstheme="minorBidi"/>
          <w:szCs w:val="22"/>
        </w:rPr>
      </w:pPr>
      <w:hyperlink w:anchor="_Toc76483011" w:history="1">
        <w:r w:rsidR="00DA6858">
          <w:rPr>
            <w:rStyle w:val="afff2"/>
            <w:rFonts w:ascii="宋体" w:hAnsi="宋体"/>
            <w:color w:val="auto"/>
          </w:rPr>
          <w:t>第九部分</w:t>
        </w:r>
        <w:r w:rsidR="00DA6858">
          <w:rPr>
            <w:rFonts w:asciiTheme="minorHAnsi" w:eastAsiaTheme="minorEastAsia" w:hAnsiTheme="minorHAnsi" w:cstheme="minorBidi"/>
            <w:szCs w:val="22"/>
          </w:rPr>
          <w:tab/>
        </w:r>
        <w:r w:rsidR="00DA6858">
          <w:rPr>
            <w:rStyle w:val="afff2"/>
            <w:rFonts w:ascii="宋体" w:hAnsi="宋体"/>
            <w:color w:val="auto"/>
          </w:rPr>
          <w:t>基金的投资</w:t>
        </w:r>
        <w:r w:rsidR="00DA6858">
          <w:tab/>
        </w:r>
        <w:r w:rsidR="00DA6858">
          <w:fldChar w:fldCharType="begin"/>
        </w:r>
        <w:r w:rsidR="00DA6858">
          <w:instrText xml:space="preserve"> PAGEREF _Toc76483011 \h </w:instrText>
        </w:r>
        <w:r w:rsidR="00DA6858">
          <w:fldChar w:fldCharType="separate"/>
        </w:r>
        <w:r w:rsidR="00DA6858">
          <w:t>37</w:t>
        </w:r>
        <w:r w:rsidR="00DA6858">
          <w:fldChar w:fldCharType="end"/>
        </w:r>
      </w:hyperlink>
    </w:p>
    <w:p w14:paraId="339B1A40" w14:textId="77777777" w:rsidR="00706097" w:rsidRDefault="00174906">
      <w:pPr>
        <w:pStyle w:val="25"/>
        <w:rPr>
          <w:rFonts w:asciiTheme="minorHAnsi" w:eastAsiaTheme="minorEastAsia" w:hAnsiTheme="minorHAnsi" w:cstheme="minorBidi"/>
          <w:szCs w:val="22"/>
        </w:rPr>
      </w:pPr>
      <w:hyperlink w:anchor="_Toc76483022" w:history="1">
        <w:r w:rsidR="00DA6858">
          <w:rPr>
            <w:rStyle w:val="afff2"/>
            <w:rFonts w:ascii="宋体" w:hAnsi="宋体"/>
            <w:color w:val="auto"/>
          </w:rPr>
          <w:t>第十部分</w:t>
        </w:r>
        <w:r w:rsidR="00DA6858">
          <w:rPr>
            <w:rFonts w:asciiTheme="minorHAnsi" w:eastAsiaTheme="minorEastAsia" w:hAnsiTheme="minorHAnsi" w:cstheme="minorBidi"/>
            <w:szCs w:val="22"/>
          </w:rPr>
          <w:tab/>
        </w:r>
        <w:r w:rsidR="00DA6858">
          <w:rPr>
            <w:rStyle w:val="afff2"/>
            <w:rFonts w:ascii="宋体" w:hAnsi="宋体"/>
            <w:color w:val="auto"/>
          </w:rPr>
          <w:t>基金的业绩</w:t>
        </w:r>
        <w:r w:rsidR="00DA6858">
          <w:tab/>
        </w:r>
        <w:r w:rsidR="00DA6858">
          <w:fldChar w:fldCharType="begin"/>
        </w:r>
        <w:r w:rsidR="00DA6858">
          <w:instrText xml:space="preserve"> PAGEREF _Toc76483022 \h </w:instrText>
        </w:r>
        <w:r w:rsidR="00DA6858">
          <w:fldChar w:fldCharType="separate"/>
        </w:r>
        <w:r w:rsidR="00DA6858">
          <w:t>45</w:t>
        </w:r>
        <w:r w:rsidR="00DA6858">
          <w:fldChar w:fldCharType="end"/>
        </w:r>
      </w:hyperlink>
    </w:p>
    <w:p w14:paraId="604AC9B0" w14:textId="77777777" w:rsidR="00706097" w:rsidRDefault="00174906">
      <w:pPr>
        <w:pStyle w:val="25"/>
        <w:tabs>
          <w:tab w:val="left" w:pos="1680"/>
        </w:tabs>
        <w:rPr>
          <w:rFonts w:asciiTheme="minorHAnsi" w:eastAsiaTheme="minorEastAsia" w:hAnsiTheme="minorHAnsi" w:cstheme="minorBidi"/>
          <w:szCs w:val="22"/>
        </w:rPr>
      </w:pPr>
      <w:hyperlink w:anchor="_Toc76483023" w:history="1">
        <w:r w:rsidR="00DA6858">
          <w:rPr>
            <w:rStyle w:val="afff2"/>
            <w:rFonts w:ascii="宋体" w:hAnsi="宋体"/>
            <w:color w:val="auto"/>
          </w:rPr>
          <w:t>第十一部分</w:t>
        </w:r>
        <w:r w:rsidR="00DA6858">
          <w:rPr>
            <w:rFonts w:asciiTheme="minorHAnsi" w:eastAsiaTheme="minorEastAsia" w:hAnsiTheme="minorHAnsi" w:cstheme="minorBidi"/>
            <w:szCs w:val="22"/>
          </w:rPr>
          <w:tab/>
        </w:r>
        <w:r w:rsidR="00DA6858">
          <w:rPr>
            <w:rStyle w:val="afff2"/>
            <w:rFonts w:ascii="宋体" w:hAnsi="宋体"/>
            <w:color w:val="auto"/>
          </w:rPr>
          <w:t>基金的财产</w:t>
        </w:r>
        <w:r w:rsidR="00DA6858">
          <w:tab/>
        </w:r>
        <w:r w:rsidR="00DA6858">
          <w:fldChar w:fldCharType="begin"/>
        </w:r>
        <w:r w:rsidR="00DA6858">
          <w:instrText xml:space="preserve"> PAGEREF _Toc76483023 \h </w:instrText>
        </w:r>
        <w:r w:rsidR="00DA6858">
          <w:fldChar w:fldCharType="separate"/>
        </w:r>
        <w:r w:rsidR="00DA6858">
          <w:t>48</w:t>
        </w:r>
        <w:r w:rsidR="00DA6858">
          <w:fldChar w:fldCharType="end"/>
        </w:r>
      </w:hyperlink>
    </w:p>
    <w:p w14:paraId="302846DF" w14:textId="77777777" w:rsidR="00706097" w:rsidRDefault="00174906">
      <w:pPr>
        <w:pStyle w:val="25"/>
        <w:tabs>
          <w:tab w:val="left" w:pos="1680"/>
        </w:tabs>
        <w:rPr>
          <w:rFonts w:asciiTheme="minorHAnsi" w:eastAsiaTheme="minorEastAsia" w:hAnsiTheme="minorHAnsi" w:cstheme="minorBidi"/>
          <w:szCs w:val="22"/>
        </w:rPr>
      </w:pPr>
      <w:hyperlink w:anchor="_Toc76483024" w:history="1">
        <w:r w:rsidR="00DA6858">
          <w:rPr>
            <w:rStyle w:val="afff2"/>
            <w:rFonts w:ascii="宋体" w:hAnsi="宋体"/>
            <w:color w:val="auto"/>
          </w:rPr>
          <w:t>第十二部分</w:t>
        </w:r>
        <w:r w:rsidR="00DA6858">
          <w:rPr>
            <w:rFonts w:asciiTheme="minorHAnsi" w:eastAsiaTheme="minorEastAsia" w:hAnsiTheme="minorHAnsi" w:cstheme="minorBidi"/>
            <w:szCs w:val="22"/>
          </w:rPr>
          <w:tab/>
        </w:r>
        <w:r w:rsidR="00DA6858">
          <w:rPr>
            <w:rStyle w:val="afff2"/>
            <w:rFonts w:ascii="宋体" w:hAnsi="宋体"/>
            <w:color w:val="auto"/>
          </w:rPr>
          <w:t>基金资产估值</w:t>
        </w:r>
        <w:r w:rsidR="00DA6858">
          <w:tab/>
        </w:r>
        <w:r w:rsidR="00DA6858">
          <w:fldChar w:fldCharType="begin"/>
        </w:r>
        <w:r w:rsidR="00DA6858">
          <w:instrText xml:space="preserve"> PAGEREF _Toc76483024 \h </w:instrText>
        </w:r>
        <w:r w:rsidR="00DA6858">
          <w:fldChar w:fldCharType="separate"/>
        </w:r>
        <w:r w:rsidR="00DA6858">
          <w:t>49</w:t>
        </w:r>
        <w:r w:rsidR="00DA6858">
          <w:fldChar w:fldCharType="end"/>
        </w:r>
      </w:hyperlink>
    </w:p>
    <w:p w14:paraId="14339C00" w14:textId="77777777" w:rsidR="00706097" w:rsidRDefault="00174906">
      <w:pPr>
        <w:pStyle w:val="25"/>
        <w:tabs>
          <w:tab w:val="left" w:pos="1680"/>
        </w:tabs>
        <w:rPr>
          <w:rFonts w:asciiTheme="minorHAnsi" w:eastAsiaTheme="minorEastAsia" w:hAnsiTheme="minorHAnsi" w:cstheme="minorBidi"/>
          <w:szCs w:val="22"/>
        </w:rPr>
      </w:pPr>
      <w:hyperlink w:anchor="_Toc76483025" w:history="1">
        <w:r w:rsidR="00DA6858">
          <w:rPr>
            <w:rStyle w:val="afff2"/>
            <w:rFonts w:ascii="宋体" w:hAnsi="宋体"/>
            <w:color w:val="auto"/>
          </w:rPr>
          <w:t>第十三部分</w:t>
        </w:r>
        <w:r w:rsidR="00DA6858">
          <w:rPr>
            <w:rFonts w:asciiTheme="minorHAnsi" w:eastAsiaTheme="minorEastAsia" w:hAnsiTheme="minorHAnsi" w:cstheme="minorBidi"/>
            <w:szCs w:val="22"/>
          </w:rPr>
          <w:tab/>
        </w:r>
        <w:r w:rsidR="00DA6858">
          <w:rPr>
            <w:rStyle w:val="afff2"/>
            <w:rFonts w:ascii="宋体" w:hAnsi="宋体"/>
            <w:color w:val="auto"/>
          </w:rPr>
          <w:t>基金的收益与分配</w:t>
        </w:r>
        <w:r w:rsidR="00DA6858">
          <w:tab/>
        </w:r>
        <w:r w:rsidR="00DA6858">
          <w:fldChar w:fldCharType="begin"/>
        </w:r>
        <w:r w:rsidR="00DA6858">
          <w:instrText xml:space="preserve"> PAGEREF _Toc76483025 \h </w:instrText>
        </w:r>
        <w:r w:rsidR="00DA6858">
          <w:fldChar w:fldCharType="separate"/>
        </w:r>
        <w:r w:rsidR="00DA6858">
          <w:t>54</w:t>
        </w:r>
        <w:r w:rsidR="00DA6858">
          <w:fldChar w:fldCharType="end"/>
        </w:r>
      </w:hyperlink>
    </w:p>
    <w:p w14:paraId="1AF46E50" w14:textId="77777777" w:rsidR="00706097" w:rsidRDefault="00174906">
      <w:pPr>
        <w:pStyle w:val="25"/>
        <w:tabs>
          <w:tab w:val="left" w:pos="1680"/>
        </w:tabs>
        <w:rPr>
          <w:rFonts w:asciiTheme="minorHAnsi" w:eastAsiaTheme="minorEastAsia" w:hAnsiTheme="minorHAnsi" w:cstheme="minorBidi"/>
          <w:szCs w:val="22"/>
        </w:rPr>
      </w:pPr>
      <w:hyperlink w:anchor="_Toc76483026" w:history="1">
        <w:r w:rsidR="00DA6858">
          <w:rPr>
            <w:rStyle w:val="afff2"/>
            <w:rFonts w:ascii="宋体" w:hAnsi="宋体"/>
            <w:color w:val="auto"/>
          </w:rPr>
          <w:t>第十四部分</w:t>
        </w:r>
        <w:r w:rsidR="00DA6858">
          <w:rPr>
            <w:rFonts w:asciiTheme="minorHAnsi" w:eastAsiaTheme="minorEastAsia" w:hAnsiTheme="minorHAnsi" w:cstheme="minorBidi"/>
            <w:szCs w:val="22"/>
          </w:rPr>
          <w:tab/>
        </w:r>
        <w:r w:rsidR="00DA6858">
          <w:rPr>
            <w:rStyle w:val="afff2"/>
            <w:rFonts w:ascii="宋体" w:hAnsi="宋体"/>
            <w:color w:val="auto"/>
          </w:rPr>
          <w:t>基金的费用与税收</w:t>
        </w:r>
        <w:r w:rsidR="00DA6858">
          <w:tab/>
        </w:r>
        <w:r w:rsidR="00DA6858">
          <w:fldChar w:fldCharType="begin"/>
        </w:r>
        <w:r w:rsidR="00DA6858">
          <w:instrText xml:space="preserve"> PAGEREF _Toc76483026 \h </w:instrText>
        </w:r>
        <w:r w:rsidR="00DA6858">
          <w:fldChar w:fldCharType="separate"/>
        </w:r>
        <w:r w:rsidR="00DA6858">
          <w:t>56</w:t>
        </w:r>
        <w:r w:rsidR="00DA6858">
          <w:fldChar w:fldCharType="end"/>
        </w:r>
      </w:hyperlink>
    </w:p>
    <w:p w14:paraId="2E38C363" w14:textId="77777777" w:rsidR="00706097" w:rsidRDefault="00174906">
      <w:pPr>
        <w:pStyle w:val="25"/>
        <w:tabs>
          <w:tab w:val="left" w:pos="1680"/>
        </w:tabs>
        <w:rPr>
          <w:rFonts w:asciiTheme="minorHAnsi" w:eastAsiaTheme="minorEastAsia" w:hAnsiTheme="minorHAnsi" w:cstheme="minorBidi"/>
          <w:szCs w:val="22"/>
        </w:rPr>
      </w:pPr>
      <w:hyperlink w:anchor="_Toc76483027" w:history="1">
        <w:r w:rsidR="00DA6858">
          <w:rPr>
            <w:rStyle w:val="afff2"/>
            <w:rFonts w:ascii="宋体" w:hAnsi="宋体"/>
            <w:color w:val="auto"/>
          </w:rPr>
          <w:t>第十五部分</w:t>
        </w:r>
        <w:r w:rsidR="00DA6858">
          <w:rPr>
            <w:rFonts w:asciiTheme="minorHAnsi" w:eastAsiaTheme="minorEastAsia" w:hAnsiTheme="minorHAnsi" w:cstheme="minorBidi"/>
            <w:szCs w:val="22"/>
          </w:rPr>
          <w:tab/>
        </w:r>
        <w:r w:rsidR="00DA6858">
          <w:rPr>
            <w:rStyle w:val="afff2"/>
            <w:rFonts w:ascii="宋体" w:hAnsi="宋体"/>
            <w:color w:val="auto"/>
          </w:rPr>
          <w:t>基金的会计与审计</w:t>
        </w:r>
        <w:r w:rsidR="00DA6858">
          <w:tab/>
        </w:r>
        <w:r w:rsidR="00DA6858">
          <w:fldChar w:fldCharType="begin"/>
        </w:r>
        <w:r w:rsidR="00DA6858">
          <w:instrText xml:space="preserve"> PAGEREF _Toc76483027 \h </w:instrText>
        </w:r>
        <w:r w:rsidR="00DA6858">
          <w:fldChar w:fldCharType="separate"/>
        </w:r>
        <w:r w:rsidR="00DA6858">
          <w:t>58</w:t>
        </w:r>
        <w:r w:rsidR="00DA6858">
          <w:fldChar w:fldCharType="end"/>
        </w:r>
      </w:hyperlink>
    </w:p>
    <w:p w14:paraId="52AC7C03" w14:textId="77777777" w:rsidR="00706097" w:rsidRDefault="00174906">
      <w:pPr>
        <w:pStyle w:val="25"/>
        <w:tabs>
          <w:tab w:val="left" w:pos="1680"/>
        </w:tabs>
        <w:rPr>
          <w:rFonts w:asciiTheme="minorHAnsi" w:eastAsiaTheme="minorEastAsia" w:hAnsiTheme="minorHAnsi" w:cstheme="minorBidi"/>
          <w:szCs w:val="22"/>
        </w:rPr>
      </w:pPr>
      <w:hyperlink w:anchor="_Toc76483028" w:history="1">
        <w:r w:rsidR="00DA6858">
          <w:rPr>
            <w:rStyle w:val="afff2"/>
            <w:rFonts w:ascii="宋体" w:hAnsi="宋体"/>
            <w:color w:val="auto"/>
          </w:rPr>
          <w:t>第十六部分</w:t>
        </w:r>
        <w:r w:rsidR="00DA6858">
          <w:rPr>
            <w:rFonts w:asciiTheme="minorHAnsi" w:eastAsiaTheme="minorEastAsia" w:hAnsiTheme="minorHAnsi" w:cstheme="minorBidi"/>
            <w:szCs w:val="22"/>
          </w:rPr>
          <w:tab/>
        </w:r>
        <w:r w:rsidR="00DA6858">
          <w:rPr>
            <w:rStyle w:val="afff2"/>
            <w:rFonts w:ascii="宋体" w:hAnsi="宋体"/>
            <w:color w:val="auto"/>
          </w:rPr>
          <w:t>基金的信息披露</w:t>
        </w:r>
        <w:r w:rsidR="00DA6858">
          <w:tab/>
        </w:r>
        <w:r w:rsidR="00DA6858">
          <w:fldChar w:fldCharType="begin"/>
        </w:r>
        <w:r w:rsidR="00DA6858">
          <w:instrText xml:space="preserve"> PAGEREF _Toc76483028 \h </w:instrText>
        </w:r>
        <w:r w:rsidR="00DA6858">
          <w:fldChar w:fldCharType="separate"/>
        </w:r>
        <w:r w:rsidR="00DA6858">
          <w:t>59</w:t>
        </w:r>
        <w:r w:rsidR="00DA6858">
          <w:fldChar w:fldCharType="end"/>
        </w:r>
      </w:hyperlink>
    </w:p>
    <w:p w14:paraId="3E1E7122" w14:textId="77777777" w:rsidR="00706097" w:rsidRDefault="00174906">
      <w:pPr>
        <w:pStyle w:val="25"/>
        <w:tabs>
          <w:tab w:val="left" w:pos="1680"/>
        </w:tabs>
        <w:rPr>
          <w:rFonts w:asciiTheme="minorHAnsi" w:eastAsiaTheme="minorEastAsia" w:hAnsiTheme="minorHAnsi" w:cstheme="minorBidi"/>
          <w:szCs w:val="22"/>
        </w:rPr>
      </w:pPr>
      <w:hyperlink w:anchor="_Toc76483029" w:history="1">
        <w:r w:rsidR="00DA6858">
          <w:rPr>
            <w:rStyle w:val="afff2"/>
            <w:rFonts w:ascii="宋体" w:hAnsi="宋体"/>
            <w:color w:val="auto"/>
          </w:rPr>
          <w:t>第十七部分</w:t>
        </w:r>
        <w:r w:rsidR="00DA6858">
          <w:rPr>
            <w:rFonts w:asciiTheme="minorHAnsi" w:eastAsiaTheme="minorEastAsia" w:hAnsiTheme="minorHAnsi" w:cstheme="minorBidi"/>
            <w:szCs w:val="22"/>
          </w:rPr>
          <w:tab/>
        </w:r>
        <w:r w:rsidR="00DA6858">
          <w:rPr>
            <w:rStyle w:val="afff2"/>
            <w:rFonts w:ascii="宋体" w:hAnsi="宋体"/>
            <w:color w:val="auto"/>
          </w:rPr>
          <w:t>侧袋机制</w:t>
        </w:r>
        <w:r w:rsidR="00DA6858">
          <w:tab/>
        </w:r>
        <w:r w:rsidR="00DA6858">
          <w:fldChar w:fldCharType="begin"/>
        </w:r>
        <w:r w:rsidR="00DA6858">
          <w:instrText xml:space="preserve"> PAGEREF _Toc76483029 \h </w:instrText>
        </w:r>
        <w:r w:rsidR="00DA6858">
          <w:fldChar w:fldCharType="separate"/>
        </w:r>
        <w:r w:rsidR="00DA6858">
          <w:t>65</w:t>
        </w:r>
        <w:r w:rsidR="00DA6858">
          <w:fldChar w:fldCharType="end"/>
        </w:r>
      </w:hyperlink>
    </w:p>
    <w:p w14:paraId="30E6EA5D" w14:textId="77777777" w:rsidR="00706097" w:rsidRDefault="00174906">
      <w:pPr>
        <w:pStyle w:val="25"/>
        <w:tabs>
          <w:tab w:val="left" w:pos="1680"/>
        </w:tabs>
        <w:rPr>
          <w:rFonts w:asciiTheme="minorHAnsi" w:eastAsiaTheme="minorEastAsia" w:hAnsiTheme="minorHAnsi" w:cstheme="minorBidi"/>
          <w:szCs w:val="22"/>
        </w:rPr>
      </w:pPr>
      <w:hyperlink w:anchor="_Toc76483030" w:history="1">
        <w:r w:rsidR="00DA6858">
          <w:rPr>
            <w:rStyle w:val="afff2"/>
            <w:rFonts w:ascii="宋体" w:hAnsi="宋体"/>
            <w:color w:val="auto"/>
          </w:rPr>
          <w:t>第十八部分</w:t>
        </w:r>
        <w:r w:rsidR="00DA6858">
          <w:rPr>
            <w:rFonts w:asciiTheme="minorHAnsi" w:eastAsiaTheme="minorEastAsia" w:hAnsiTheme="minorHAnsi" w:cstheme="minorBidi"/>
            <w:szCs w:val="22"/>
          </w:rPr>
          <w:tab/>
        </w:r>
        <w:r w:rsidR="00DA6858">
          <w:rPr>
            <w:rStyle w:val="afff2"/>
            <w:rFonts w:ascii="宋体" w:hAnsi="宋体"/>
            <w:color w:val="auto"/>
          </w:rPr>
          <w:t>风险揭示</w:t>
        </w:r>
        <w:r w:rsidR="00DA6858">
          <w:tab/>
        </w:r>
        <w:r w:rsidR="00DA6858">
          <w:fldChar w:fldCharType="begin"/>
        </w:r>
        <w:r w:rsidR="00DA6858">
          <w:instrText xml:space="preserve"> PAGEREF _Toc76483030 \h </w:instrText>
        </w:r>
        <w:r w:rsidR="00DA6858">
          <w:fldChar w:fldCharType="separate"/>
        </w:r>
        <w:r w:rsidR="00DA6858">
          <w:t>66</w:t>
        </w:r>
        <w:r w:rsidR="00DA6858">
          <w:fldChar w:fldCharType="end"/>
        </w:r>
      </w:hyperlink>
    </w:p>
    <w:p w14:paraId="25B9B06D" w14:textId="77777777" w:rsidR="00706097" w:rsidRDefault="00174906">
      <w:pPr>
        <w:pStyle w:val="25"/>
        <w:tabs>
          <w:tab w:val="left" w:pos="1680"/>
        </w:tabs>
        <w:rPr>
          <w:rFonts w:asciiTheme="minorHAnsi" w:eastAsiaTheme="minorEastAsia" w:hAnsiTheme="minorHAnsi" w:cstheme="minorBidi"/>
          <w:szCs w:val="22"/>
        </w:rPr>
      </w:pPr>
      <w:hyperlink w:anchor="_Toc76483031" w:history="1">
        <w:r w:rsidR="00DA6858">
          <w:rPr>
            <w:rStyle w:val="afff2"/>
            <w:rFonts w:ascii="宋体" w:hAnsi="宋体"/>
            <w:color w:val="auto"/>
          </w:rPr>
          <w:t>第十九部分</w:t>
        </w:r>
        <w:r w:rsidR="00DA6858">
          <w:rPr>
            <w:rFonts w:asciiTheme="minorHAnsi" w:eastAsiaTheme="minorEastAsia" w:hAnsiTheme="minorHAnsi" w:cstheme="minorBidi"/>
            <w:szCs w:val="22"/>
          </w:rPr>
          <w:tab/>
        </w:r>
        <w:r w:rsidR="00DA6858">
          <w:rPr>
            <w:rStyle w:val="afff2"/>
            <w:rFonts w:ascii="宋体" w:hAnsi="宋体"/>
            <w:color w:val="auto"/>
          </w:rPr>
          <w:t>基金合同的变更、终止和基金财产的清算</w:t>
        </w:r>
        <w:r w:rsidR="00DA6858">
          <w:tab/>
        </w:r>
        <w:r w:rsidR="00DA6858">
          <w:fldChar w:fldCharType="begin"/>
        </w:r>
        <w:r w:rsidR="00DA6858">
          <w:instrText xml:space="preserve"> PAGEREF _Toc76483031 \h </w:instrText>
        </w:r>
        <w:r w:rsidR="00DA6858">
          <w:fldChar w:fldCharType="separate"/>
        </w:r>
        <w:r w:rsidR="00DA6858">
          <w:t>71</w:t>
        </w:r>
        <w:r w:rsidR="00DA6858">
          <w:fldChar w:fldCharType="end"/>
        </w:r>
      </w:hyperlink>
    </w:p>
    <w:p w14:paraId="5FB219BE" w14:textId="77777777" w:rsidR="00706097" w:rsidRDefault="00174906">
      <w:pPr>
        <w:pStyle w:val="25"/>
        <w:tabs>
          <w:tab w:val="left" w:pos="1680"/>
        </w:tabs>
        <w:rPr>
          <w:rFonts w:asciiTheme="minorHAnsi" w:eastAsiaTheme="minorEastAsia" w:hAnsiTheme="minorHAnsi" w:cstheme="minorBidi"/>
          <w:szCs w:val="22"/>
        </w:rPr>
      </w:pPr>
      <w:hyperlink w:anchor="_Toc76483032" w:history="1">
        <w:r w:rsidR="00DA6858">
          <w:rPr>
            <w:rStyle w:val="afff2"/>
            <w:rFonts w:ascii="宋体" w:hAnsi="宋体"/>
            <w:color w:val="auto"/>
          </w:rPr>
          <w:t>第二十部分</w:t>
        </w:r>
        <w:r w:rsidR="00DA6858">
          <w:rPr>
            <w:rFonts w:asciiTheme="minorHAnsi" w:eastAsiaTheme="minorEastAsia" w:hAnsiTheme="minorHAnsi" w:cstheme="minorBidi"/>
            <w:szCs w:val="22"/>
          </w:rPr>
          <w:tab/>
        </w:r>
        <w:r w:rsidR="00DA6858">
          <w:rPr>
            <w:rStyle w:val="afff2"/>
            <w:rFonts w:ascii="宋体" w:hAnsi="宋体"/>
            <w:color w:val="auto"/>
          </w:rPr>
          <w:t>基金合同的内容摘要</w:t>
        </w:r>
        <w:r w:rsidR="00DA6858">
          <w:tab/>
        </w:r>
        <w:r w:rsidR="00DA6858">
          <w:fldChar w:fldCharType="begin"/>
        </w:r>
        <w:r w:rsidR="00DA6858">
          <w:instrText xml:space="preserve"> PAGEREF _Toc76483032 \h </w:instrText>
        </w:r>
        <w:r w:rsidR="00DA6858">
          <w:fldChar w:fldCharType="separate"/>
        </w:r>
        <w:r w:rsidR="00DA6858">
          <w:t>73</w:t>
        </w:r>
        <w:r w:rsidR="00DA6858">
          <w:fldChar w:fldCharType="end"/>
        </w:r>
      </w:hyperlink>
    </w:p>
    <w:p w14:paraId="4E926730" w14:textId="77777777" w:rsidR="00706097" w:rsidRDefault="00174906">
      <w:pPr>
        <w:pStyle w:val="25"/>
        <w:tabs>
          <w:tab w:val="left" w:pos="1680"/>
        </w:tabs>
        <w:rPr>
          <w:rFonts w:asciiTheme="minorHAnsi" w:eastAsiaTheme="minorEastAsia" w:hAnsiTheme="minorHAnsi" w:cstheme="minorBidi"/>
          <w:szCs w:val="22"/>
        </w:rPr>
      </w:pPr>
      <w:hyperlink w:anchor="_Toc76483033" w:history="1">
        <w:r w:rsidR="00DA6858">
          <w:rPr>
            <w:rStyle w:val="afff2"/>
            <w:rFonts w:ascii="宋体" w:hAnsi="宋体"/>
            <w:color w:val="auto"/>
          </w:rPr>
          <w:t>第二十一部分</w:t>
        </w:r>
        <w:r w:rsidR="00DA6858">
          <w:rPr>
            <w:rFonts w:asciiTheme="minorHAnsi" w:eastAsiaTheme="minorEastAsia" w:hAnsiTheme="minorHAnsi" w:cstheme="minorBidi"/>
            <w:szCs w:val="22"/>
          </w:rPr>
          <w:tab/>
        </w:r>
        <w:r w:rsidR="00DA6858">
          <w:rPr>
            <w:rStyle w:val="afff2"/>
            <w:rFonts w:ascii="宋体" w:hAnsi="宋体"/>
            <w:color w:val="auto"/>
          </w:rPr>
          <w:t>基金托管协议的内容摘要</w:t>
        </w:r>
        <w:r w:rsidR="00DA6858">
          <w:tab/>
        </w:r>
        <w:r w:rsidR="00DA6858">
          <w:fldChar w:fldCharType="begin"/>
        </w:r>
        <w:r w:rsidR="00DA6858">
          <w:instrText xml:space="preserve"> PAGEREF _Toc76483033 \h </w:instrText>
        </w:r>
        <w:r w:rsidR="00DA6858">
          <w:fldChar w:fldCharType="separate"/>
        </w:r>
        <w:r w:rsidR="00DA6858">
          <w:t>87</w:t>
        </w:r>
        <w:r w:rsidR="00DA6858">
          <w:fldChar w:fldCharType="end"/>
        </w:r>
      </w:hyperlink>
    </w:p>
    <w:p w14:paraId="618D7C1F" w14:textId="77777777" w:rsidR="00706097" w:rsidRDefault="00174906">
      <w:pPr>
        <w:pStyle w:val="25"/>
        <w:tabs>
          <w:tab w:val="left" w:pos="1680"/>
        </w:tabs>
        <w:rPr>
          <w:rFonts w:asciiTheme="minorHAnsi" w:eastAsiaTheme="minorEastAsia" w:hAnsiTheme="minorHAnsi" w:cstheme="minorBidi"/>
          <w:szCs w:val="22"/>
        </w:rPr>
      </w:pPr>
      <w:hyperlink w:anchor="_Toc76483034" w:history="1">
        <w:r w:rsidR="00DA6858">
          <w:rPr>
            <w:rStyle w:val="afff2"/>
            <w:rFonts w:ascii="宋体" w:hAnsi="宋体"/>
            <w:color w:val="auto"/>
          </w:rPr>
          <w:t>第二十二部分</w:t>
        </w:r>
        <w:r w:rsidR="00DA6858">
          <w:rPr>
            <w:rFonts w:asciiTheme="minorHAnsi" w:eastAsiaTheme="minorEastAsia" w:hAnsiTheme="minorHAnsi" w:cstheme="minorBidi"/>
            <w:szCs w:val="22"/>
          </w:rPr>
          <w:tab/>
        </w:r>
        <w:r w:rsidR="00DA6858">
          <w:rPr>
            <w:rStyle w:val="afff2"/>
            <w:rFonts w:ascii="宋体" w:hAnsi="宋体"/>
            <w:color w:val="auto"/>
          </w:rPr>
          <w:t>基金份额持有人服务</w:t>
        </w:r>
        <w:r w:rsidR="00DA6858">
          <w:tab/>
        </w:r>
        <w:r w:rsidR="00DA6858">
          <w:fldChar w:fldCharType="begin"/>
        </w:r>
        <w:r w:rsidR="00DA6858">
          <w:instrText xml:space="preserve"> PAGEREF _Toc76483034 \h </w:instrText>
        </w:r>
        <w:r w:rsidR="00DA6858">
          <w:fldChar w:fldCharType="separate"/>
        </w:r>
        <w:r w:rsidR="00DA6858">
          <w:t>101</w:t>
        </w:r>
        <w:r w:rsidR="00DA6858">
          <w:fldChar w:fldCharType="end"/>
        </w:r>
      </w:hyperlink>
    </w:p>
    <w:p w14:paraId="0BDF8962" w14:textId="77777777" w:rsidR="00706097" w:rsidRDefault="00174906">
      <w:pPr>
        <w:pStyle w:val="25"/>
        <w:tabs>
          <w:tab w:val="left" w:pos="1680"/>
        </w:tabs>
        <w:rPr>
          <w:rFonts w:asciiTheme="minorHAnsi" w:eastAsiaTheme="minorEastAsia" w:hAnsiTheme="minorHAnsi" w:cstheme="minorBidi"/>
          <w:szCs w:val="22"/>
        </w:rPr>
      </w:pPr>
      <w:hyperlink w:anchor="_Toc76483035" w:history="1">
        <w:r w:rsidR="00DA6858">
          <w:rPr>
            <w:rStyle w:val="afff2"/>
            <w:rFonts w:ascii="宋体" w:hAnsi="宋体"/>
            <w:color w:val="auto"/>
          </w:rPr>
          <w:t>第二十三部分</w:t>
        </w:r>
        <w:r w:rsidR="00DA6858">
          <w:rPr>
            <w:rFonts w:asciiTheme="minorHAnsi" w:eastAsiaTheme="minorEastAsia" w:hAnsiTheme="minorHAnsi" w:cstheme="minorBidi"/>
            <w:szCs w:val="22"/>
          </w:rPr>
          <w:tab/>
        </w:r>
        <w:r w:rsidR="00DA6858">
          <w:rPr>
            <w:rStyle w:val="afff2"/>
            <w:rFonts w:ascii="宋体" w:hAnsi="宋体"/>
            <w:color w:val="auto"/>
          </w:rPr>
          <w:t>其他应披露事项</w:t>
        </w:r>
        <w:r w:rsidR="00DA6858">
          <w:tab/>
        </w:r>
        <w:r w:rsidR="00DA6858">
          <w:fldChar w:fldCharType="begin"/>
        </w:r>
        <w:r w:rsidR="00DA6858">
          <w:instrText xml:space="preserve"> PAGEREF _Toc76483035 \h </w:instrText>
        </w:r>
        <w:r w:rsidR="00DA6858">
          <w:fldChar w:fldCharType="separate"/>
        </w:r>
        <w:r w:rsidR="00DA6858">
          <w:t>103</w:t>
        </w:r>
        <w:r w:rsidR="00DA6858">
          <w:fldChar w:fldCharType="end"/>
        </w:r>
      </w:hyperlink>
    </w:p>
    <w:p w14:paraId="19A61918" w14:textId="77777777" w:rsidR="00706097" w:rsidRDefault="00174906">
      <w:pPr>
        <w:pStyle w:val="25"/>
        <w:tabs>
          <w:tab w:val="left" w:pos="1680"/>
        </w:tabs>
        <w:rPr>
          <w:rFonts w:asciiTheme="minorHAnsi" w:eastAsiaTheme="minorEastAsia" w:hAnsiTheme="minorHAnsi" w:cstheme="minorBidi"/>
          <w:szCs w:val="22"/>
        </w:rPr>
      </w:pPr>
      <w:hyperlink w:anchor="_Toc76483036" w:history="1">
        <w:r w:rsidR="00DA6858">
          <w:rPr>
            <w:rStyle w:val="afff2"/>
            <w:rFonts w:ascii="宋体" w:hAnsi="宋体"/>
            <w:color w:val="auto"/>
          </w:rPr>
          <w:t>第二十四部分</w:t>
        </w:r>
        <w:r w:rsidR="00DA6858">
          <w:rPr>
            <w:rFonts w:asciiTheme="minorHAnsi" w:eastAsiaTheme="minorEastAsia" w:hAnsiTheme="minorHAnsi" w:cstheme="minorBidi"/>
            <w:szCs w:val="22"/>
          </w:rPr>
          <w:tab/>
        </w:r>
        <w:r w:rsidR="00DA6858">
          <w:rPr>
            <w:rStyle w:val="afff2"/>
            <w:rFonts w:ascii="宋体" w:hAnsi="宋体"/>
            <w:color w:val="auto"/>
          </w:rPr>
          <w:t>招募说明书存放及其查阅方式</w:t>
        </w:r>
        <w:r w:rsidR="00DA6858">
          <w:tab/>
        </w:r>
        <w:r w:rsidR="00DA6858">
          <w:fldChar w:fldCharType="begin"/>
        </w:r>
        <w:r w:rsidR="00DA6858">
          <w:instrText xml:space="preserve"> PAGEREF _Toc76483036 \h </w:instrText>
        </w:r>
        <w:r w:rsidR="00DA6858">
          <w:fldChar w:fldCharType="separate"/>
        </w:r>
        <w:r w:rsidR="00DA6858">
          <w:t>105</w:t>
        </w:r>
        <w:r w:rsidR="00DA6858">
          <w:fldChar w:fldCharType="end"/>
        </w:r>
      </w:hyperlink>
    </w:p>
    <w:p w14:paraId="141D72CE" w14:textId="77777777" w:rsidR="00706097" w:rsidRDefault="00174906">
      <w:pPr>
        <w:pStyle w:val="25"/>
        <w:tabs>
          <w:tab w:val="left" w:pos="1680"/>
        </w:tabs>
        <w:rPr>
          <w:rFonts w:asciiTheme="minorHAnsi" w:eastAsiaTheme="minorEastAsia" w:hAnsiTheme="minorHAnsi" w:cstheme="minorBidi"/>
          <w:szCs w:val="22"/>
        </w:rPr>
      </w:pPr>
      <w:hyperlink w:anchor="_Toc76483037" w:history="1">
        <w:r w:rsidR="00DA6858">
          <w:rPr>
            <w:rStyle w:val="afff2"/>
            <w:rFonts w:ascii="宋体" w:hAnsi="宋体"/>
            <w:color w:val="auto"/>
          </w:rPr>
          <w:t>第二十五部分</w:t>
        </w:r>
        <w:r w:rsidR="00DA6858">
          <w:rPr>
            <w:rFonts w:asciiTheme="minorHAnsi" w:eastAsiaTheme="minorEastAsia" w:hAnsiTheme="minorHAnsi" w:cstheme="minorBidi"/>
            <w:szCs w:val="22"/>
          </w:rPr>
          <w:tab/>
        </w:r>
        <w:r w:rsidR="00DA6858">
          <w:rPr>
            <w:rStyle w:val="afff2"/>
            <w:rFonts w:ascii="宋体" w:hAnsi="宋体"/>
            <w:color w:val="auto"/>
          </w:rPr>
          <w:t>备查文件</w:t>
        </w:r>
        <w:r w:rsidR="00DA6858">
          <w:tab/>
        </w:r>
        <w:r w:rsidR="00DA6858">
          <w:fldChar w:fldCharType="begin"/>
        </w:r>
        <w:r w:rsidR="00DA6858">
          <w:instrText xml:space="preserve"> PAGEREF _Toc76483037 \h </w:instrText>
        </w:r>
        <w:r w:rsidR="00DA6858">
          <w:fldChar w:fldCharType="separate"/>
        </w:r>
        <w:r w:rsidR="00DA6858">
          <w:t>106</w:t>
        </w:r>
        <w:r w:rsidR="00DA6858">
          <w:fldChar w:fldCharType="end"/>
        </w:r>
      </w:hyperlink>
    </w:p>
    <w:p w14:paraId="48CA0E72" w14:textId="77777777" w:rsidR="00706097" w:rsidRDefault="00DA6858">
      <w:r>
        <w:fldChar w:fldCharType="end"/>
      </w:r>
    </w:p>
    <w:p w14:paraId="0A98FB71" w14:textId="77777777" w:rsidR="00706097" w:rsidRDefault="00DA6858">
      <w:pPr>
        <w:pStyle w:val="21"/>
        <w:numPr>
          <w:ilvl w:val="0"/>
          <w:numId w:val="28"/>
        </w:numPr>
        <w:snapToGrid w:val="0"/>
        <w:spacing w:before="0" w:after="0" w:line="360" w:lineRule="auto"/>
        <w:jc w:val="left"/>
        <w:rPr>
          <w:rFonts w:ascii="宋体" w:eastAsia="宋体" w:hAnsi="宋体"/>
        </w:rPr>
      </w:pPr>
      <w:r>
        <w:rPr>
          <w:rFonts w:ascii="宋体" w:eastAsia="宋体" w:hAnsi="宋体"/>
        </w:rPr>
        <w:br w:type="page"/>
      </w:r>
      <w:bookmarkStart w:id="13" w:name="_Toc76483003"/>
      <w:r>
        <w:rPr>
          <w:rFonts w:ascii="宋体" w:eastAsia="宋体" w:hAnsi="宋体" w:hint="eastAsia"/>
        </w:rPr>
        <w:lastRenderedPageBreak/>
        <w:t>绪言</w:t>
      </w:r>
      <w:bookmarkEnd w:id="1"/>
      <w:bookmarkEnd w:id="2"/>
      <w:bookmarkEnd w:id="3"/>
      <w:bookmarkEnd w:id="4"/>
      <w:bookmarkEnd w:id="5"/>
      <w:bookmarkEnd w:id="6"/>
      <w:bookmarkEnd w:id="7"/>
      <w:bookmarkEnd w:id="8"/>
      <w:bookmarkEnd w:id="9"/>
      <w:bookmarkEnd w:id="13"/>
    </w:p>
    <w:bookmarkEnd w:id="10"/>
    <w:bookmarkEnd w:id="11"/>
    <w:bookmarkEnd w:id="12"/>
    <w:p w14:paraId="29F2D13A" w14:textId="77777777" w:rsidR="00706097" w:rsidRDefault="00706097">
      <w:pPr>
        <w:adjustRightInd w:val="0"/>
        <w:snapToGrid w:val="0"/>
        <w:spacing w:line="360" w:lineRule="auto"/>
        <w:ind w:firstLine="539"/>
        <w:rPr>
          <w:rFonts w:ascii="宋体" w:hAnsi="宋体"/>
          <w:szCs w:val="23"/>
        </w:rPr>
      </w:pPr>
    </w:p>
    <w:p w14:paraId="63517A3B" w14:textId="77777777" w:rsidR="00706097" w:rsidRDefault="00DA6858">
      <w:pPr>
        <w:adjustRightInd w:val="0"/>
        <w:snapToGrid w:val="0"/>
        <w:spacing w:line="360" w:lineRule="auto"/>
        <w:ind w:firstLineChars="200" w:firstLine="420"/>
        <w:rPr>
          <w:rFonts w:ascii="宋体" w:hAnsi="宋体"/>
          <w:szCs w:val="23"/>
        </w:rPr>
      </w:pPr>
      <w:r>
        <w:rPr>
          <w:rFonts w:ascii="宋体" w:hAnsi="宋体" w:hint="eastAsia"/>
          <w:szCs w:val="23"/>
        </w:rPr>
        <w:t>本招募说明书依据《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及《</w:t>
      </w:r>
      <w:r>
        <w:rPr>
          <w:rFonts w:hint="eastAsia"/>
          <w:bCs/>
          <w:szCs w:val="21"/>
        </w:rPr>
        <w:t>东海祥苏短债债券型证券投资基金</w:t>
      </w:r>
      <w:r>
        <w:rPr>
          <w:rFonts w:ascii="宋体" w:hAnsi="宋体"/>
          <w:szCs w:val="21"/>
        </w:rPr>
        <w:t>基金合同</w:t>
      </w:r>
      <w:r>
        <w:rPr>
          <w:rFonts w:ascii="宋体" w:hAnsi="宋体" w:hint="eastAsia"/>
          <w:szCs w:val="23"/>
        </w:rPr>
        <w:t>》编写。</w:t>
      </w:r>
    </w:p>
    <w:p w14:paraId="47CB134F" w14:textId="77777777" w:rsidR="00706097" w:rsidRDefault="00DA6858">
      <w:pPr>
        <w:adjustRightInd w:val="0"/>
        <w:snapToGrid w:val="0"/>
        <w:spacing w:line="360" w:lineRule="auto"/>
        <w:ind w:firstLineChars="200" w:firstLine="420"/>
        <w:rPr>
          <w:rFonts w:ascii="宋体" w:hAnsi="宋体"/>
          <w:szCs w:val="23"/>
        </w:rPr>
      </w:pPr>
      <w:r>
        <w:rPr>
          <w:rFonts w:ascii="宋体" w:hAnsi="宋体"/>
          <w:szCs w:val="21"/>
        </w:rPr>
        <w:t>基金管理人承诺本招募说明书不存在任何虚假记载、误导性陈述或者重大遗漏，并对其真实性、准确性、完整性承担法律责任。本基金是根据本招募说明书所载明的资料申请募集的。本基金管理人没有委托或授权任何其他人提供未在本招募说明书中载明的信息,或对本招募说明书作任何解释或者说明</w:t>
      </w:r>
      <w:r>
        <w:rPr>
          <w:rFonts w:ascii="宋体" w:hAnsi="宋体" w:hint="eastAsia"/>
          <w:szCs w:val="23"/>
        </w:rPr>
        <w:t>。</w:t>
      </w:r>
    </w:p>
    <w:p w14:paraId="54B08A6D" w14:textId="77777777" w:rsidR="00706097" w:rsidRDefault="00DA6858">
      <w:pPr>
        <w:adjustRightInd w:val="0"/>
        <w:snapToGrid w:val="0"/>
        <w:spacing w:line="360" w:lineRule="auto"/>
        <w:ind w:firstLineChars="200" w:firstLine="420"/>
        <w:rPr>
          <w:rFonts w:ascii="宋体" w:hAnsi="宋体"/>
          <w:szCs w:val="23"/>
        </w:rPr>
      </w:pPr>
      <w:r>
        <w:rPr>
          <w:rFonts w:ascii="宋体" w:hAnsi="宋体"/>
          <w:szCs w:val="21"/>
        </w:rPr>
        <w:t>本招募说明书根据本基金的基金合同编写，并经中国证监会</w:t>
      </w:r>
      <w:r>
        <w:rPr>
          <w:rFonts w:ascii="宋体" w:hAnsi="宋体" w:hint="eastAsia"/>
          <w:szCs w:val="21"/>
        </w:rPr>
        <w:t>注册</w:t>
      </w:r>
      <w:r>
        <w:rPr>
          <w:rFonts w:ascii="宋体" w:hAnsi="宋体"/>
          <w:szCs w:val="21"/>
        </w:rPr>
        <w:t>。基金合同是约定基金</w:t>
      </w:r>
      <w:r>
        <w:rPr>
          <w:rFonts w:ascii="宋体" w:hAnsi="宋体" w:hint="eastAsia"/>
          <w:szCs w:val="21"/>
        </w:rPr>
        <w:t>合同</w:t>
      </w:r>
      <w:r>
        <w:rPr>
          <w:rFonts w:ascii="宋体" w:hAnsi="宋体"/>
          <w:szCs w:val="21"/>
        </w:rPr>
        <w:t>当事人之间权利、义务的法律文件。基金</w:t>
      </w:r>
      <w:proofErr w:type="gramStart"/>
      <w:r>
        <w:rPr>
          <w:rFonts w:ascii="宋体" w:hAnsi="宋体"/>
          <w:szCs w:val="21"/>
        </w:rPr>
        <w:t>投资人自依基金</w:t>
      </w:r>
      <w:proofErr w:type="gramEnd"/>
      <w:r>
        <w:rPr>
          <w:rFonts w:ascii="宋体" w:hAnsi="宋体"/>
          <w:szCs w:val="21"/>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Pr>
          <w:rFonts w:ascii="宋体" w:hAnsi="宋体" w:hint="eastAsia"/>
          <w:szCs w:val="23"/>
        </w:rPr>
        <w:t>。</w:t>
      </w:r>
    </w:p>
    <w:p w14:paraId="13BB5171" w14:textId="77777777" w:rsidR="00706097" w:rsidRDefault="00DA6858">
      <w:pPr>
        <w:adjustRightInd w:val="0"/>
        <w:snapToGrid w:val="0"/>
        <w:spacing w:line="360" w:lineRule="auto"/>
        <w:ind w:firstLineChars="200" w:firstLine="420"/>
        <w:rPr>
          <w:rFonts w:ascii="宋体" w:hAnsi="宋体"/>
          <w:szCs w:val="23"/>
        </w:rPr>
      </w:pPr>
      <w:r>
        <w:rPr>
          <w:rFonts w:ascii="宋体" w:hAnsi="宋体" w:hint="eastAsia"/>
          <w:szCs w:val="23"/>
        </w:rPr>
        <w:t>本基金按照中国法律法规成立并运作，</w:t>
      </w:r>
      <w:proofErr w:type="gramStart"/>
      <w:r>
        <w:rPr>
          <w:rFonts w:ascii="宋体" w:hAnsi="宋体" w:hint="eastAsia"/>
          <w:szCs w:val="23"/>
        </w:rPr>
        <w:t>若基金</w:t>
      </w:r>
      <w:proofErr w:type="gramEnd"/>
      <w:r>
        <w:rPr>
          <w:rFonts w:ascii="宋体" w:hAnsi="宋体" w:hint="eastAsia"/>
          <w:szCs w:val="23"/>
        </w:rPr>
        <w:t>合同、招募说明书的内容与届时有效的法律法规的强制性规定不一致，应当以届时有效的法律法规的规定为准。</w:t>
      </w:r>
    </w:p>
    <w:p w14:paraId="1430075D" w14:textId="77777777" w:rsidR="00706097" w:rsidRDefault="00DA6858">
      <w:pPr>
        <w:pStyle w:val="ab"/>
        <w:snapToGrid w:val="0"/>
        <w:spacing w:line="360" w:lineRule="auto"/>
        <w:ind w:firstLineChars="200"/>
        <w:rPr>
          <w:rFonts w:ascii="宋体" w:hAnsi="宋体"/>
          <w:szCs w:val="21"/>
        </w:rPr>
      </w:pPr>
      <w:r>
        <w:rPr>
          <w:rFonts w:ascii="宋体" w:hAnsi="宋体"/>
        </w:rPr>
        <w:br w:type="page"/>
      </w:r>
    </w:p>
    <w:p w14:paraId="11972DD1" w14:textId="77777777" w:rsidR="00706097" w:rsidRDefault="00DA6858">
      <w:pPr>
        <w:pStyle w:val="21"/>
        <w:numPr>
          <w:ilvl w:val="0"/>
          <w:numId w:val="28"/>
        </w:numPr>
        <w:snapToGrid w:val="0"/>
        <w:spacing w:before="0" w:after="0" w:line="360" w:lineRule="auto"/>
        <w:jc w:val="left"/>
        <w:rPr>
          <w:rFonts w:ascii="宋体" w:eastAsia="宋体" w:hAnsi="宋体"/>
        </w:rPr>
      </w:pPr>
      <w:bookmarkStart w:id="14" w:name="_Toc360794096"/>
      <w:bookmarkStart w:id="15" w:name="_Toc76483004"/>
      <w:bookmarkStart w:id="16" w:name="_Toc360793494"/>
      <w:bookmarkStart w:id="17" w:name="_Toc360794404"/>
      <w:bookmarkStart w:id="18" w:name="_Toc360794512"/>
      <w:bookmarkStart w:id="19" w:name="_Toc362533451"/>
      <w:bookmarkStart w:id="20" w:name="_Toc362455179"/>
      <w:bookmarkStart w:id="21" w:name="_Toc360793846"/>
      <w:bookmarkStart w:id="22" w:name="_Toc362455180"/>
      <w:bookmarkStart w:id="23" w:name="_Toc362533452"/>
      <w:bookmarkStart w:id="24" w:name="_Toc360794513"/>
      <w:bookmarkStart w:id="25" w:name="_Toc360793495"/>
      <w:bookmarkStart w:id="26" w:name="_Toc360794405"/>
      <w:bookmarkStart w:id="27" w:name="_Toc360794097"/>
      <w:bookmarkStart w:id="28" w:name="_Toc360793847"/>
      <w:r>
        <w:rPr>
          <w:rFonts w:ascii="宋体" w:eastAsia="宋体" w:hAnsi="宋体" w:hint="eastAsia"/>
        </w:rPr>
        <w:lastRenderedPageBreak/>
        <w:t>释义</w:t>
      </w:r>
      <w:bookmarkEnd w:id="14"/>
      <w:bookmarkEnd w:id="15"/>
      <w:bookmarkEnd w:id="16"/>
      <w:bookmarkEnd w:id="17"/>
      <w:bookmarkEnd w:id="18"/>
      <w:bookmarkEnd w:id="19"/>
      <w:bookmarkEnd w:id="20"/>
      <w:bookmarkEnd w:id="21"/>
    </w:p>
    <w:p w14:paraId="6FC552C9" w14:textId="77777777" w:rsidR="00706097" w:rsidRDefault="00706097">
      <w:pPr>
        <w:snapToGrid w:val="0"/>
        <w:spacing w:line="360" w:lineRule="auto"/>
        <w:ind w:firstLineChars="200" w:firstLine="420"/>
        <w:rPr>
          <w:rFonts w:ascii="宋体" w:hAnsi="宋体"/>
          <w:bCs/>
          <w:szCs w:val="21"/>
        </w:rPr>
      </w:pPr>
    </w:p>
    <w:p w14:paraId="0005DB24"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在本</w:t>
      </w:r>
      <w:r>
        <w:rPr>
          <w:rFonts w:ascii="宋体" w:hAnsi="宋体" w:hint="eastAsia"/>
          <w:bCs/>
          <w:szCs w:val="21"/>
        </w:rPr>
        <w:t>招募说明书中</w:t>
      </w:r>
      <w:r>
        <w:rPr>
          <w:rFonts w:ascii="宋体" w:hAnsi="宋体"/>
          <w:bCs/>
          <w:szCs w:val="21"/>
        </w:rPr>
        <w:t>，除非文意另有所指，下列词语或简称具有如下含义：</w:t>
      </w:r>
    </w:p>
    <w:p w14:paraId="7BB499C4"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w:t>
      </w:r>
      <w:r>
        <w:rPr>
          <w:rFonts w:ascii="宋体" w:hAnsi="宋体" w:hint="eastAsia"/>
          <w:szCs w:val="21"/>
        </w:rPr>
        <w:t>、</w:t>
      </w:r>
      <w:r>
        <w:rPr>
          <w:rFonts w:ascii="宋体" w:hAnsi="宋体"/>
          <w:szCs w:val="21"/>
        </w:rPr>
        <w:t>基金或本基金：指</w:t>
      </w:r>
      <w:r>
        <w:rPr>
          <w:rFonts w:ascii="宋体" w:hAnsi="宋体" w:hint="eastAsia"/>
          <w:szCs w:val="21"/>
        </w:rPr>
        <w:t>东海</w:t>
      </w:r>
      <w:proofErr w:type="gramStart"/>
      <w:r>
        <w:rPr>
          <w:rFonts w:ascii="宋体" w:hAnsi="宋体" w:hint="eastAsia"/>
          <w:szCs w:val="21"/>
        </w:rPr>
        <w:t>祥苏短</w:t>
      </w:r>
      <w:proofErr w:type="gramEnd"/>
      <w:r>
        <w:rPr>
          <w:rFonts w:ascii="宋体" w:hAnsi="宋体" w:hint="eastAsia"/>
          <w:szCs w:val="21"/>
        </w:rPr>
        <w:t>债债券型证券投资基金</w:t>
      </w:r>
    </w:p>
    <w:p w14:paraId="5A7BDC0E"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w:t>
      </w:r>
      <w:r>
        <w:rPr>
          <w:rFonts w:ascii="宋体" w:hAnsi="宋体" w:hint="eastAsia"/>
          <w:szCs w:val="21"/>
        </w:rPr>
        <w:t>、</w:t>
      </w:r>
      <w:r>
        <w:rPr>
          <w:rFonts w:ascii="宋体" w:hAnsi="宋体"/>
          <w:szCs w:val="21"/>
        </w:rPr>
        <w:t>基金管理人：指</w:t>
      </w:r>
      <w:r>
        <w:rPr>
          <w:rFonts w:ascii="宋体" w:hAnsi="宋体" w:hint="eastAsia"/>
          <w:szCs w:val="21"/>
        </w:rPr>
        <w:t>东海基金管理有限责任公司</w:t>
      </w:r>
    </w:p>
    <w:p w14:paraId="5CB5E36B"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w:t>
      </w:r>
      <w:r>
        <w:rPr>
          <w:rFonts w:ascii="宋体" w:hAnsi="宋体" w:hint="eastAsia"/>
          <w:szCs w:val="21"/>
        </w:rPr>
        <w:t>、</w:t>
      </w:r>
      <w:r>
        <w:rPr>
          <w:rFonts w:ascii="宋体" w:hAnsi="宋体"/>
          <w:szCs w:val="21"/>
        </w:rPr>
        <w:t>基金托管人：指</w:t>
      </w:r>
      <w:r>
        <w:rPr>
          <w:rFonts w:ascii="宋体" w:hAnsi="宋体" w:hint="eastAsia"/>
          <w:szCs w:val="21"/>
        </w:rPr>
        <w:t>交通银行股份有限公司</w:t>
      </w:r>
    </w:p>
    <w:p w14:paraId="48E27402"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w:t>
      </w:r>
      <w:r>
        <w:rPr>
          <w:rFonts w:ascii="宋体" w:hAnsi="宋体" w:hint="eastAsia"/>
          <w:szCs w:val="21"/>
        </w:rPr>
        <w:t>、</w:t>
      </w:r>
      <w:r>
        <w:rPr>
          <w:rFonts w:ascii="宋体" w:hAnsi="宋体"/>
          <w:szCs w:val="21"/>
        </w:rPr>
        <w:t>基金合同：指《</w:t>
      </w:r>
      <w:r>
        <w:rPr>
          <w:rFonts w:ascii="宋体" w:hAnsi="宋体" w:hint="eastAsia"/>
          <w:szCs w:val="21"/>
        </w:rPr>
        <w:t>东海祥苏短债债券型证券投资基金</w:t>
      </w:r>
      <w:r>
        <w:rPr>
          <w:rFonts w:ascii="宋体" w:hAnsi="宋体"/>
          <w:szCs w:val="21"/>
        </w:rPr>
        <w:t>基金合同》及对基金合同的任何有效修订和补充</w:t>
      </w:r>
    </w:p>
    <w:p w14:paraId="32895F66"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5</w:t>
      </w:r>
      <w:r>
        <w:rPr>
          <w:rFonts w:ascii="宋体" w:hAnsi="宋体" w:hint="eastAsia"/>
          <w:szCs w:val="21"/>
        </w:rPr>
        <w:t>、</w:t>
      </w:r>
      <w:r>
        <w:rPr>
          <w:rFonts w:ascii="宋体" w:hAnsi="宋体"/>
          <w:szCs w:val="21"/>
        </w:rPr>
        <w:t>托管协议：指基金管理人与基金托管人就本基金签订之《</w:t>
      </w:r>
      <w:r>
        <w:rPr>
          <w:rFonts w:ascii="宋体" w:hAnsi="宋体" w:hint="eastAsia"/>
          <w:szCs w:val="21"/>
        </w:rPr>
        <w:t>东海祥苏短债债券型证券投资基金</w:t>
      </w:r>
      <w:r>
        <w:rPr>
          <w:rFonts w:ascii="宋体" w:hAnsi="宋体"/>
          <w:szCs w:val="21"/>
        </w:rPr>
        <w:t>托管协议》及对该托管协议的任何有效修订和补充</w:t>
      </w:r>
    </w:p>
    <w:p w14:paraId="5B1D8A65"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6</w:t>
      </w:r>
      <w:r>
        <w:rPr>
          <w:rFonts w:ascii="宋体" w:hAnsi="宋体" w:hint="eastAsia"/>
          <w:szCs w:val="21"/>
        </w:rPr>
        <w:t>、</w:t>
      </w:r>
      <w:r>
        <w:rPr>
          <w:rFonts w:ascii="宋体" w:hAnsi="宋体"/>
          <w:szCs w:val="21"/>
        </w:rPr>
        <w:t>招募说明书</w:t>
      </w:r>
      <w:r>
        <w:rPr>
          <w:rFonts w:ascii="宋体" w:hAnsi="宋体" w:hint="eastAsia"/>
          <w:szCs w:val="21"/>
        </w:rPr>
        <w:t>或本招募说明书</w:t>
      </w:r>
      <w:r>
        <w:rPr>
          <w:rFonts w:ascii="宋体" w:hAnsi="宋体"/>
          <w:szCs w:val="21"/>
        </w:rPr>
        <w:t>：指《</w:t>
      </w:r>
      <w:r>
        <w:rPr>
          <w:rFonts w:ascii="宋体" w:hAnsi="宋体" w:hint="eastAsia"/>
          <w:szCs w:val="21"/>
        </w:rPr>
        <w:t>东海祥苏短债债券型证券投资基金</w:t>
      </w:r>
      <w:r>
        <w:rPr>
          <w:rFonts w:ascii="宋体" w:hAnsi="宋体"/>
          <w:szCs w:val="21"/>
        </w:rPr>
        <w:t>招募说明书》及其更新</w:t>
      </w:r>
    </w:p>
    <w:p w14:paraId="17532354" w14:textId="77777777" w:rsidR="00706097" w:rsidRDefault="00DA6858">
      <w:pPr>
        <w:adjustRightInd w:val="0"/>
        <w:snapToGrid w:val="0"/>
        <w:spacing w:line="360" w:lineRule="auto"/>
        <w:ind w:firstLineChars="201" w:firstLine="422"/>
        <w:rPr>
          <w:rFonts w:ascii="宋体" w:hAnsi="宋体"/>
          <w:bCs/>
          <w:szCs w:val="21"/>
        </w:rPr>
      </w:pPr>
      <w:r>
        <w:rPr>
          <w:rFonts w:ascii="宋体" w:hAnsi="宋体"/>
          <w:szCs w:val="21"/>
        </w:rPr>
        <w:t>7</w:t>
      </w:r>
      <w:r>
        <w:rPr>
          <w:rFonts w:ascii="宋体" w:hAnsi="宋体" w:hint="eastAsia"/>
          <w:szCs w:val="21"/>
        </w:rPr>
        <w:t>、</w:t>
      </w:r>
      <w:r>
        <w:rPr>
          <w:rFonts w:ascii="宋体" w:hAnsi="宋体" w:hint="eastAsia"/>
          <w:bCs/>
          <w:szCs w:val="21"/>
        </w:rPr>
        <w:t>基金产品资料概要：指《东海祥苏短债债券型证券投资基金基金产品资料概要》及其更新（基金合同关于基金产品资料概要的编制、披露及更新等内容，将不晚于2020年9月1日起执行）</w:t>
      </w:r>
    </w:p>
    <w:p w14:paraId="6B7F10CD"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8</w:t>
      </w:r>
      <w:r>
        <w:rPr>
          <w:rFonts w:ascii="宋体" w:hAnsi="宋体" w:hint="eastAsia"/>
          <w:szCs w:val="21"/>
        </w:rPr>
        <w:t>、</w:t>
      </w:r>
      <w:r>
        <w:rPr>
          <w:rFonts w:ascii="宋体" w:hAnsi="宋体"/>
          <w:szCs w:val="21"/>
        </w:rPr>
        <w:t>基金份额发售公告：指《</w:t>
      </w:r>
      <w:r>
        <w:rPr>
          <w:rFonts w:ascii="宋体" w:hAnsi="宋体" w:hint="eastAsia"/>
          <w:szCs w:val="21"/>
        </w:rPr>
        <w:t>东海祥苏短债债券型证券投资基金</w:t>
      </w:r>
      <w:r>
        <w:rPr>
          <w:rFonts w:ascii="宋体" w:hAnsi="宋体"/>
          <w:szCs w:val="21"/>
        </w:rPr>
        <w:t>基金份额发售公告》</w:t>
      </w:r>
    </w:p>
    <w:p w14:paraId="04B466A9"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9</w:t>
      </w:r>
      <w:r>
        <w:rPr>
          <w:rFonts w:ascii="宋体" w:hAnsi="宋体" w:hint="eastAsia"/>
          <w:szCs w:val="21"/>
        </w:rPr>
        <w:t>、</w:t>
      </w:r>
      <w:r>
        <w:rPr>
          <w:rFonts w:ascii="宋体" w:hAnsi="宋体"/>
          <w:szCs w:val="21"/>
        </w:rPr>
        <w:t>法律法规：指中国现行有效并公布实施的法律、行政法规、规范性文件、司法解释、行政规章以及其他对基金合同当事人有约束力的决定、决议、通知等</w:t>
      </w:r>
    </w:p>
    <w:p w14:paraId="17D32150"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10</w:t>
      </w:r>
      <w:r>
        <w:rPr>
          <w:rFonts w:ascii="宋体" w:hAnsi="宋体" w:hint="eastAsia"/>
          <w:szCs w:val="21"/>
        </w:rPr>
        <w:t>、</w:t>
      </w:r>
      <w:r>
        <w:rPr>
          <w:rFonts w:ascii="宋体" w:hAnsi="宋体"/>
          <w:szCs w:val="21"/>
        </w:rPr>
        <w:t>《基金法》：指</w:t>
      </w:r>
      <w:r>
        <w:rPr>
          <w:rFonts w:ascii="宋体" w:hAnsi="宋体" w:hint="eastAsia"/>
          <w:szCs w:val="21"/>
        </w:rPr>
        <w:t>2003年10月28日经第十届全国人民代表大会常务委员会第五次会议通过，经</w:t>
      </w:r>
      <w:r>
        <w:rPr>
          <w:rFonts w:ascii="宋体" w:hAnsi="宋体"/>
          <w:bCs/>
          <w:szCs w:val="21"/>
        </w:rPr>
        <w:t>2012年12月28日第十一届全国人民代表大会常务委员会第三十次会议修订</w:t>
      </w:r>
      <w:r>
        <w:rPr>
          <w:rFonts w:ascii="宋体" w:hAnsi="宋体" w:hint="eastAsia"/>
          <w:bCs/>
          <w:szCs w:val="21"/>
        </w:rPr>
        <w:t>，自2013年6月1日起实施，并经2015年4月24日第十二届全国人民代表大会常务委员会第十四次会议《全国人民代表大会常务委员会关于修改&lt;中华人民共和国港口法&gt;等七部法律的决定》修正</w:t>
      </w:r>
      <w:r>
        <w:rPr>
          <w:rFonts w:ascii="宋体" w:hAnsi="宋体"/>
          <w:szCs w:val="21"/>
        </w:rPr>
        <w:t>的《中华人民共和国证券投资基金法》及颁布机关对其不时做出的修订</w:t>
      </w:r>
    </w:p>
    <w:p w14:paraId="19B1AB38"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11</w:t>
      </w:r>
      <w:r>
        <w:rPr>
          <w:rFonts w:ascii="宋体" w:hAnsi="宋体" w:hint="eastAsia"/>
          <w:szCs w:val="21"/>
        </w:rPr>
        <w:t>、</w:t>
      </w:r>
      <w:r>
        <w:rPr>
          <w:rFonts w:ascii="宋体" w:hAnsi="宋体"/>
          <w:szCs w:val="21"/>
        </w:rPr>
        <w:t>《销售办法》：指中国证监会201</w:t>
      </w:r>
      <w:r>
        <w:rPr>
          <w:rFonts w:ascii="宋体" w:hAnsi="宋体" w:hint="eastAsia"/>
          <w:szCs w:val="21"/>
        </w:rPr>
        <w:t>3</w:t>
      </w:r>
      <w:r>
        <w:rPr>
          <w:rFonts w:ascii="宋体" w:hAnsi="宋体"/>
          <w:szCs w:val="21"/>
        </w:rPr>
        <w:t>年</w:t>
      </w:r>
      <w:r>
        <w:rPr>
          <w:rFonts w:ascii="宋体" w:hAnsi="宋体" w:hint="eastAsia"/>
          <w:szCs w:val="21"/>
        </w:rPr>
        <w:t>3</w:t>
      </w:r>
      <w:r>
        <w:rPr>
          <w:rFonts w:ascii="宋体" w:hAnsi="宋体"/>
          <w:szCs w:val="21"/>
        </w:rPr>
        <w:t>月</w:t>
      </w:r>
      <w:r>
        <w:rPr>
          <w:rFonts w:ascii="宋体" w:hAnsi="宋体" w:hint="eastAsia"/>
          <w:szCs w:val="21"/>
        </w:rPr>
        <w:t>15</w:t>
      </w:r>
      <w:r>
        <w:rPr>
          <w:rFonts w:ascii="宋体" w:hAnsi="宋体"/>
          <w:szCs w:val="21"/>
        </w:rPr>
        <w:t>日颁布、同年</w:t>
      </w:r>
      <w:r>
        <w:rPr>
          <w:rFonts w:ascii="宋体" w:hAnsi="宋体" w:hint="eastAsia"/>
          <w:szCs w:val="21"/>
        </w:rPr>
        <w:t>6</w:t>
      </w:r>
      <w:r>
        <w:rPr>
          <w:rFonts w:ascii="宋体" w:hAnsi="宋体"/>
          <w:szCs w:val="21"/>
        </w:rPr>
        <w:t>月1日实施的《证券投资基金销售管理办法》及颁布机关对其不时做出的修订</w:t>
      </w:r>
    </w:p>
    <w:p w14:paraId="50023CD0"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12</w:t>
      </w:r>
      <w:r>
        <w:rPr>
          <w:rFonts w:ascii="宋体" w:hAnsi="宋体" w:hint="eastAsia"/>
          <w:szCs w:val="21"/>
        </w:rPr>
        <w:t>、</w:t>
      </w:r>
      <w:r>
        <w:rPr>
          <w:rFonts w:ascii="宋体" w:hAnsi="宋体"/>
          <w:szCs w:val="21"/>
        </w:rPr>
        <w:t>《信息披露办法》：指中国证监会2019年7月26日颁布、同年9月1日实施的《</w:t>
      </w:r>
      <w:r>
        <w:rPr>
          <w:rFonts w:ascii="宋体" w:hAnsi="宋体" w:hint="eastAsia"/>
          <w:szCs w:val="21"/>
        </w:rPr>
        <w:t>公开募集</w:t>
      </w:r>
      <w:r>
        <w:rPr>
          <w:rFonts w:ascii="宋体" w:hAnsi="宋体"/>
          <w:szCs w:val="21"/>
        </w:rPr>
        <w:t>证券投资基金信息披露管理办法》及颁布机关对其不时做出的修订</w:t>
      </w:r>
    </w:p>
    <w:p w14:paraId="00E3DD9E"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13</w:t>
      </w:r>
      <w:r>
        <w:rPr>
          <w:rFonts w:ascii="宋体" w:hAnsi="宋体" w:hint="eastAsia"/>
          <w:szCs w:val="21"/>
        </w:rPr>
        <w:t>、</w:t>
      </w:r>
      <w:r>
        <w:rPr>
          <w:rFonts w:ascii="宋体" w:hAnsi="宋体"/>
          <w:szCs w:val="21"/>
        </w:rPr>
        <w:t>《运作办法》：指中国证监会20</w:t>
      </w:r>
      <w:r>
        <w:rPr>
          <w:rFonts w:ascii="宋体" w:hAnsi="宋体" w:hint="eastAsia"/>
          <w:szCs w:val="21"/>
        </w:rPr>
        <w:t>1</w:t>
      </w:r>
      <w:r>
        <w:rPr>
          <w:rFonts w:ascii="宋体" w:hAnsi="宋体"/>
          <w:szCs w:val="21"/>
        </w:rPr>
        <w:t>4年</w:t>
      </w:r>
      <w:r>
        <w:rPr>
          <w:rFonts w:ascii="宋体" w:hAnsi="宋体" w:hint="eastAsia"/>
          <w:szCs w:val="21"/>
        </w:rPr>
        <w:t>7</w:t>
      </w:r>
      <w:r>
        <w:rPr>
          <w:rFonts w:ascii="宋体" w:hAnsi="宋体"/>
          <w:szCs w:val="21"/>
        </w:rPr>
        <w:t>月</w:t>
      </w:r>
      <w:r>
        <w:rPr>
          <w:rFonts w:ascii="宋体" w:hAnsi="宋体" w:hint="eastAsia"/>
          <w:szCs w:val="21"/>
        </w:rPr>
        <w:t>7</w:t>
      </w:r>
      <w:r>
        <w:rPr>
          <w:rFonts w:ascii="宋体" w:hAnsi="宋体"/>
          <w:szCs w:val="21"/>
        </w:rPr>
        <w:t>日颁布、同年</w:t>
      </w:r>
      <w:r>
        <w:rPr>
          <w:rFonts w:ascii="宋体" w:hAnsi="宋体" w:hint="eastAsia"/>
          <w:szCs w:val="21"/>
        </w:rPr>
        <w:t>8</w:t>
      </w:r>
      <w:r>
        <w:rPr>
          <w:rFonts w:ascii="宋体" w:hAnsi="宋体"/>
          <w:szCs w:val="21"/>
        </w:rPr>
        <w:t>月</w:t>
      </w:r>
      <w:r>
        <w:rPr>
          <w:rFonts w:ascii="宋体" w:hAnsi="宋体" w:hint="eastAsia"/>
          <w:szCs w:val="21"/>
        </w:rPr>
        <w:t>8</w:t>
      </w:r>
      <w:r>
        <w:rPr>
          <w:rFonts w:ascii="宋体" w:hAnsi="宋体"/>
          <w:szCs w:val="21"/>
        </w:rPr>
        <w:t>日实施的《</w:t>
      </w:r>
      <w:r>
        <w:rPr>
          <w:rFonts w:ascii="宋体" w:hAnsi="宋体" w:hint="eastAsia"/>
          <w:szCs w:val="21"/>
        </w:rPr>
        <w:t>公开募集</w:t>
      </w:r>
      <w:r>
        <w:rPr>
          <w:rFonts w:ascii="宋体" w:hAnsi="宋体"/>
          <w:szCs w:val="21"/>
        </w:rPr>
        <w:t>证券投资基金运作管理办法》及颁布机关对其不时做出的修订</w:t>
      </w:r>
    </w:p>
    <w:p w14:paraId="40B9B903"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bCs/>
          <w:szCs w:val="21"/>
        </w:rPr>
        <w:t>1</w:t>
      </w:r>
      <w:r>
        <w:rPr>
          <w:rFonts w:ascii="宋体" w:hAnsi="宋体"/>
          <w:bCs/>
          <w:szCs w:val="21"/>
        </w:rPr>
        <w:t>4</w:t>
      </w:r>
      <w:r>
        <w:rPr>
          <w:rFonts w:ascii="宋体" w:hAnsi="宋体" w:hint="eastAsia"/>
          <w:bCs/>
          <w:szCs w:val="21"/>
        </w:rPr>
        <w:t>、《</w:t>
      </w:r>
      <w:r>
        <w:rPr>
          <w:rFonts w:ascii="宋体" w:hAnsi="宋体"/>
          <w:bCs/>
          <w:szCs w:val="21"/>
        </w:rPr>
        <w:t>流动性风险管理规定》</w:t>
      </w:r>
      <w:r>
        <w:rPr>
          <w:rFonts w:ascii="宋体" w:hAnsi="宋体" w:hint="eastAsia"/>
          <w:bCs/>
          <w:szCs w:val="21"/>
        </w:rPr>
        <w:t>：</w:t>
      </w:r>
      <w:r>
        <w:rPr>
          <w:rFonts w:ascii="宋体" w:hAnsi="宋体"/>
          <w:bCs/>
          <w:szCs w:val="21"/>
        </w:rPr>
        <w:t>指中国证监会</w:t>
      </w:r>
      <w:r>
        <w:rPr>
          <w:rFonts w:ascii="宋体" w:hAnsi="宋体" w:hint="eastAsia"/>
          <w:bCs/>
          <w:szCs w:val="21"/>
        </w:rPr>
        <w:t>2017</w:t>
      </w:r>
      <w:r>
        <w:rPr>
          <w:rFonts w:ascii="宋体" w:hAnsi="宋体"/>
          <w:bCs/>
          <w:szCs w:val="21"/>
        </w:rPr>
        <w:t>年</w:t>
      </w:r>
      <w:r>
        <w:rPr>
          <w:rFonts w:ascii="宋体" w:hAnsi="宋体" w:hint="eastAsia"/>
          <w:bCs/>
          <w:szCs w:val="21"/>
        </w:rPr>
        <w:t>8</w:t>
      </w:r>
      <w:r>
        <w:rPr>
          <w:rFonts w:ascii="宋体" w:hAnsi="宋体"/>
          <w:bCs/>
          <w:szCs w:val="21"/>
        </w:rPr>
        <w:t>月</w:t>
      </w:r>
      <w:r>
        <w:rPr>
          <w:rFonts w:ascii="宋体" w:hAnsi="宋体" w:hint="eastAsia"/>
          <w:bCs/>
          <w:szCs w:val="21"/>
        </w:rPr>
        <w:t>31</w:t>
      </w:r>
      <w:r>
        <w:rPr>
          <w:rFonts w:ascii="宋体" w:hAnsi="宋体"/>
          <w:bCs/>
          <w:szCs w:val="21"/>
        </w:rPr>
        <w:t>日颁布、同年</w:t>
      </w:r>
      <w:r>
        <w:rPr>
          <w:rFonts w:ascii="宋体" w:hAnsi="宋体" w:hint="eastAsia"/>
          <w:bCs/>
          <w:szCs w:val="21"/>
        </w:rPr>
        <w:t>10</w:t>
      </w:r>
      <w:r>
        <w:rPr>
          <w:rFonts w:ascii="宋体" w:hAnsi="宋体"/>
          <w:bCs/>
          <w:szCs w:val="21"/>
        </w:rPr>
        <w:t>月</w:t>
      </w:r>
      <w:r>
        <w:rPr>
          <w:rFonts w:ascii="宋体" w:hAnsi="宋体" w:hint="eastAsia"/>
          <w:bCs/>
          <w:szCs w:val="21"/>
        </w:rPr>
        <w:t>1</w:t>
      </w:r>
      <w:r>
        <w:rPr>
          <w:rFonts w:ascii="宋体" w:hAnsi="宋体"/>
          <w:bCs/>
          <w:szCs w:val="21"/>
        </w:rPr>
        <w:t>日实施的《公开募集开放式证券投资基金流动性风险管理规定》及颁布机关对其不时做出的修订</w:t>
      </w:r>
    </w:p>
    <w:p w14:paraId="2FFB6DED"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15</w:t>
      </w:r>
      <w:r>
        <w:rPr>
          <w:rFonts w:ascii="宋体" w:hAnsi="宋体" w:hint="eastAsia"/>
          <w:szCs w:val="21"/>
        </w:rPr>
        <w:t>、</w:t>
      </w:r>
      <w:r>
        <w:rPr>
          <w:rFonts w:ascii="宋体" w:hAnsi="宋体"/>
          <w:szCs w:val="21"/>
        </w:rPr>
        <w:t>中国证监会：指中国证券监督管理委员会</w:t>
      </w:r>
    </w:p>
    <w:p w14:paraId="5BB4E720"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lastRenderedPageBreak/>
        <w:t>16</w:t>
      </w:r>
      <w:r>
        <w:rPr>
          <w:rFonts w:ascii="宋体" w:hAnsi="宋体" w:hint="eastAsia"/>
          <w:szCs w:val="21"/>
        </w:rPr>
        <w:t>、</w:t>
      </w:r>
      <w:r>
        <w:rPr>
          <w:rFonts w:ascii="宋体" w:hAnsi="宋体"/>
          <w:szCs w:val="21"/>
        </w:rPr>
        <w:t>银行业监督管理机构：指中国人民银行和/或中国银行保险监督管理委员会</w:t>
      </w:r>
    </w:p>
    <w:p w14:paraId="4613A226"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17</w:t>
      </w:r>
      <w:r>
        <w:rPr>
          <w:rFonts w:ascii="宋体" w:hAnsi="宋体" w:hint="eastAsia"/>
          <w:szCs w:val="21"/>
        </w:rPr>
        <w:t>、</w:t>
      </w:r>
      <w:r>
        <w:rPr>
          <w:rFonts w:ascii="宋体" w:hAnsi="宋体"/>
          <w:szCs w:val="21"/>
        </w:rPr>
        <w:t>基金合同当事人：指受基金合同约束，根据基金合同享有权利并承担义务的法律主体，包括基金管理人、基金托管人和基金份额持有人</w:t>
      </w:r>
    </w:p>
    <w:p w14:paraId="7A405861"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18</w:t>
      </w:r>
      <w:r>
        <w:rPr>
          <w:rFonts w:ascii="宋体" w:hAnsi="宋体" w:hint="eastAsia"/>
          <w:szCs w:val="21"/>
        </w:rPr>
        <w:t>、</w:t>
      </w:r>
      <w:r>
        <w:rPr>
          <w:rFonts w:ascii="宋体" w:hAnsi="宋体"/>
          <w:szCs w:val="21"/>
        </w:rPr>
        <w:t>个人投资者：指依据有关法律法规规定可投资于证券投资基金的自然人</w:t>
      </w:r>
    </w:p>
    <w:p w14:paraId="118B7382"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19</w:t>
      </w:r>
      <w:r>
        <w:rPr>
          <w:rFonts w:ascii="宋体" w:hAnsi="宋体" w:hint="eastAsia"/>
          <w:szCs w:val="21"/>
        </w:rPr>
        <w:t>、</w:t>
      </w:r>
      <w:r>
        <w:rPr>
          <w:rFonts w:ascii="宋体" w:hAnsi="宋体"/>
          <w:szCs w:val="21"/>
        </w:rPr>
        <w:t>机构投资者：指依法可以投资证券投资基金的、在中华人民共和国境内合法登记并存续或经有关政府部门批准设立并存续的企业法人、事业法人、社会团体或其他组织</w:t>
      </w:r>
    </w:p>
    <w:p w14:paraId="2DDAF5DB"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20</w:t>
      </w:r>
      <w:r>
        <w:rPr>
          <w:rFonts w:ascii="宋体" w:hAnsi="宋体" w:hint="eastAsia"/>
          <w:szCs w:val="21"/>
        </w:rPr>
        <w:t>、合格境外机构投资者：指符合《合格境外机构投资者境内证券投资管理办法》及相关法律法规规定可以投资于在中国境内依法募集的证券投资基金的中国境外的机构投资者</w:t>
      </w:r>
    </w:p>
    <w:p w14:paraId="44168BCE"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21</w:t>
      </w:r>
      <w:r>
        <w:rPr>
          <w:rFonts w:ascii="宋体" w:hAnsi="宋体" w:hint="eastAsia"/>
          <w:szCs w:val="21"/>
        </w:rPr>
        <w:t>、人民币合格境外机构投资者：指按照《人民币合格境外机构投资者境内证券投资试点办法》及相关法律法规规定，运用来自境外的人民币资金进行境内证券投资的境外法人</w:t>
      </w:r>
    </w:p>
    <w:p w14:paraId="2FFE2EFC"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2</w:t>
      </w:r>
      <w:r>
        <w:rPr>
          <w:rFonts w:ascii="宋体" w:hAnsi="宋体"/>
          <w:szCs w:val="21"/>
        </w:rPr>
        <w:t>2</w:t>
      </w:r>
      <w:r>
        <w:rPr>
          <w:rFonts w:ascii="宋体" w:hAnsi="宋体" w:hint="eastAsia"/>
          <w:szCs w:val="21"/>
        </w:rPr>
        <w:t>、</w:t>
      </w:r>
      <w:r>
        <w:rPr>
          <w:rFonts w:ascii="宋体" w:hAnsi="宋体"/>
          <w:szCs w:val="21"/>
        </w:rPr>
        <w:t>投资人</w:t>
      </w:r>
      <w:r>
        <w:rPr>
          <w:rFonts w:ascii="宋体" w:hAnsi="宋体" w:hint="eastAsia"/>
          <w:szCs w:val="21"/>
        </w:rPr>
        <w:t>、投资者</w:t>
      </w:r>
      <w:r>
        <w:rPr>
          <w:rFonts w:ascii="宋体" w:hAnsi="宋体"/>
          <w:szCs w:val="21"/>
        </w:rPr>
        <w:t>：指个人投资者、机构投资者</w:t>
      </w:r>
      <w:r>
        <w:rPr>
          <w:rFonts w:ascii="宋体" w:hAnsi="宋体" w:hint="eastAsia"/>
          <w:szCs w:val="21"/>
        </w:rPr>
        <w:t>、</w:t>
      </w:r>
      <w:r>
        <w:rPr>
          <w:rFonts w:ascii="宋体" w:hAnsi="宋体"/>
          <w:szCs w:val="21"/>
        </w:rPr>
        <w:t>合格境外机构投资者</w:t>
      </w:r>
      <w:r>
        <w:rPr>
          <w:rFonts w:ascii="宋体" w:hAnsi="宋体" w:hint="eastAsia"/>
          <w:szCs w:val="21"/>
        </w:rPr>
        <w:t>和人民币合格境外机构投资者</w:t>
      </w:r>
      <w:r>
        <w:rPr>
          <w:rFonts w:ascii="宋体" w:hAnsi="宋体"/>
          <w:szCs w:val="21"/>
        </w:rPr>
        <w:t>以及法律法规或中国证监会允许购买证券投资基金的其他投资人的合称</w:t>
      </w:r>
    </w:p>
    <w:p w14:paraId="455D4885"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2</w:t>
      </w:r>
      <w:r>
        <w:rPr>
          <w:rFonts w:ascii="宋体" w:hAnsi="宋体"/>
          <w:szCs w:val="21"/>
        </w:rPr>
        <w:t>3</w:t>
      </w:r>
      <w:r>
        <w:rPr>
          <w:rFonts w:ascii="宋体" w:hAnsi="宋体" w:hint="eastAsia"/>
          <w:szCs w:val="21"/>
        </w:rPr>
        <w:t>、</w:t>
      </w:r>
      <w:r>
        <w:rPr>
          <w:rFonts w:ascii="宋体" w:hAnsi="宋体"/>
          <w:szCs w:val="21"/>
        </w:rPr>
        <w:t>基金份额持有人：指依基金合同和招募说明书合法取得基金份额的投资人</w:t>
      </w:r>
    </w:p>
    <w:p w14:paraId="26B40164"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24</w:t>
      </w:r>
      <w:r>
        <w:rPr>
          <w:rFonts w:ascii="宋体" w:hAnsi="宋体" w:hint="eastAsia"/>
          <w:szCs w:val="21"/>
        </w:rPr>
        <w:t>、</w:t>
      </w:r>
      <w:r>
        <w:rPr>
          <w:rFonts w:ascii="宋体" w:hAnsi="宋体"/>
          <w:szCs w:val="21"/>
        </w:rPr>
        <w:t>基金销售业务：指基金管理人或销售机构宣传推介基金，发售基金份额，办理基金份额的申购、赎回、转换、转托管及</w:t>
      </w:r>
      <w:r>
        <w:rPr>
          <w:rFonts w:ascii="宋体" w:hAnsi="宋体" w:hint="eastAsia"/>
          <w:szCs w:val="21"/>
        </w:rPr>
        <w:t>定期定额投资</w:t>
      </w:r>
      <w:r>
        <w:rPr>
          <w:rFonts w:ascii="宋体" w:hAnsi="宋体"/>
          <w:szCs w:val="21"/>
        </w:rPr>
        <w:t>等业务</w:t>
      </w:r>
    </w:p>
    <w:p w14:paraId="62A62275"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25</w:t>
      </w:r>
      <w:r>
        <w:rPr>
          <w:rFonts w:ascii="宋体" w:hAnsi="宋体" w:hint="eastAsia"/>
          <w:szCs w:val="21"/>
        </w:rPr>
        <w:t>、</w:t>
      </w:r>
      <w:r>
        <w:rPr>
          <w:rFonts w:ascii="宋体" w:hAnsi="宋体"/>
          <w:szCs w:val="21"/>
        </w:rPr>
        <w:t>销售机构：指</w:t>
      </w:r>
      <w:r>
        <w:rPr>
          <w:rFonts w:ascii="宋体" w:hAnsi="宋体" w:hint="eastAsia"/>
          <w:szCs w:val="21"/>
        </w:rPr>
        <w:t>东海基金管理有限责任公司</w:t>
      </w:r>
      <w:r>
        <w:rPr>
          <w:rFonts w:ascii="宋体" w:hAnsi="宋体"/>
          <w:szCs w:val="21"/>
        </w:rPr>
        <w:t>以及符合《销售办法》和中国证监会规定的其他条件，取得基金</w:t>
      </w:r>
      <w:r>
        <w:rPr>
          <w:rFonts w:ascii="宋体" w:hAnsi="宋体" w:hint="eastAsia"/>
          <w:szCs w:val="21"/>
        </w:rPr>
        <w:t>销售</w:t>
      </w:r>
      <w:r>
        <w:rPr>
          <w:rFonts w:ascii="宋体" w:hAnsi="宋体"/>
          <w:szCs w:val="21"/>
        </w:rPr>
        <w:t>业务资格并与基金管理人签订了基金销售服务协议，办理基金销售业务的机构</w:t>
      </w:r>
    </w:p>
    <w:p w14:paraId="1A84C723"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2</w:t>
      </w:r>
      <w:r>
        <w:rPr>
          <w:rFonts w:ascii="宋体" w:hAnsi="宋体"/>
          <w:szCs w:val="21"/>
        </w:rPr>
        <w:t>6</w:t>
      </w:r>
      <w:r>
        <w:rPr>
          <w:rFonts w:ascii="宋体" w:hAnsi="宋体" w:hint="eastAsia"/>
          <w:szCs w:val="21"/>
        </w:rPr>
        <w:t>、</w:t>
      </w:r>
      <w:r>
        <w:rPr>
          <w:rFonts w:ascii="宋体" w:hAnsi="宋体"/>
          <w:szCs w:val="21"/>
        </w:rPr>
        <w:t>登记业务：指基金登记、存管、过户、清算和结算业务，具体内容包括投资人基金账户的建立和管理、基金份额登记、基金销售业务的确认、清算和结算、代理发放红利、建立并保管基金份额持有人名册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szCs w:val="21"/>
        </w:rPr>
        <w:t>和办理</w:t>
      </w:r>
      <w:proofErr w:type="gramStart"/>
      <w:r>
        <w:rPr>
          <w:rFonts w:ascii="宋体" w:hAnsi="宋体" w:hint="eastAsia"/>
          <w:szCs w:val="21"/>
        </w:rPr>
        <w:t>非交易</w:t>
      </w:r>
      <w:proofErr w:type="gramEnd"/>
      <w:r>
        <w:rPr>
          <w:rFonts w:ascii="宋体" w:hAnsi="宋体" w:hint="eastAsia"/>
          <w:szCs w:val="21"/>
        </w:rPr>
        <w:t>过户</w:t>
      </w:r>
      <w:r>
        <w:rPr>
          <w:rFonts w:ascii="宋体" w:hAnsi="宋体"/>
          <w:szCs w:val="21"/>
        </w:rPr>
        <w:t>等</w:t>
      </w:r>
    </w:p>
    <w:p w14:paraId="72D83B04"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27</w:t>
      </w:r>
      <w:r>
        <w:rPr>
          <w:rFonts w:ascii="宋体" w:hAnsi="宋体" w:hint="eastAsia"/>
          <w:szCs w:val="21"/>
        </w:rPr>
        <w:t>、</w:t>
      </w:r>
      <w:r>
        <w:rPr>
          <w:rFonts w:ascii="宋体" w:hAnsi="宋体"/>
          <w:szCs w:val="21"/>
        </w:rPr>
        <w:t>登记机构：</w:t>
      </w:r>
      <w:proofErr w:type="gramStart"/>
      <w:r>
        <w:rPr>
          <w:rFonts w:ascii="宋体" w:hAnsi="宋体"/>
          <w:szCs w:val="21"/>
        </w:rPr>
        <w:t>指办理</w:t>
      </w:r>
      <w:proofErr w:type="gramEnd"/>
      <w:r>
        <w:rPr>
          <w:rFonts w:ascii="宋体" w:hAnsi="宋体"/>
          <w:szCs w:val="21"/>
        </w:rPr>
        <w:t>登记业务的机构。基金的登记机构为</w:t>
      </w:r>
      <w:r>
        <w:rPr>
          <w:rFonts w:ascii="宋体" w:hAnsi="宋体" w:hint="eastAsia"/>
          <w:szCs w:val="21"/>
        </w:rPr>
        <w:t>东海基金管理有限责任公司</w:t>
      </w:r>
      <w:r>
        <w:rPr>
          <w:rFonts w:ascii="宋体" w:hAnsi="宋体"/>
          <w:szCs w:val="21"/>
        </w:rPr>
        <w:t>或接受</w:t>
      </w:r>
      <w:r>
        <w:rPr>
          <w:rFonts w:ascii="宋体" w:hAnsi="宋体" w:hint="eastAsia"/>
          <w:szCs w:val="21"/>
        </w:rPr>
        <w:t>东海基金管理有限责任公司</w:t>
      </w:r>
      <w:r>
        <w:rPr>
          <w:rFonts w:ascii="宋体" w:hAnsi="宋体"/>
          <w:szCs w:val="21"/>
        </w:rPr>
        <w:t>委托代为办理登记业务的机构</w:t>
      </w:r>
    </w:p>
    <w:p w14:paraId="6C5CF638"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28</w:t>
      </w:r>
      <w:r>
        <w:rPr>
          <w:rFonts w:ascii="宋体" w:hAnsi="宋体" w:hint="eastAsia"/>
          <w:szCs w:val="21"/>
        </w:rPr>
        <w:t>、</w:t>
      </w:r>
      <w:r>
        <w:rPr>
          <w:rFonts w:ascii="宋体" w:hAnsi="宋体"/>
          <w:szCs w:val="21"/>
        </w:rPr>
        <w:t>基金账户：指登记机构为投资人开立的、记录其持有的、基金管理人所管理的基金份额余额及其变动情况的账户</w:t>
      </w:r>
    </w:p>
    <w:p w14:paraId="455EC698"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29</w:t>
      </w:r>
      <w:r>
        <w:rPr>
          <w:rFonts w:ascii="宋体" w:hAnsi="宋体" w:hint="eastAsia"/>
          <w:szCs w:val="21"/>
        </w:rPr>
        <w:t>、</w:t>
      </w:r>
      <w:r>
        <w:rPr>
          <w:rFonts w:ascii="宋体" w:hAnsi="宋体"/>
          <w:szCs w:val="21"/>
        </w:rPr>
        <w:t>基金交易账户：指销售机构为投资人开立的、记录投资人通过该销售机构</w:t>
      </w:r>
      <w:r>
        <w:rPr>
          <w:rFonts w:ascii="宋体" w:hAnsi="宋体" w:hint="eastAsia"/>
          <w:szCs w:val="21"/>
        </w:rPr>
        <w:t>办理认购、申购、赎回、转换、转托管及定期定额投资等业务而引起</w:t>
      </w:r>
      <w:r>
        <w:rPr>
          <w:rFonts w:ascii="宋体" w:hAnsi="宋体"/>
          <w:szCs w:val="21"/>
        </w:rPr>
        <w:t>的基金份额变动及结余情况的账户</w:t>
      </w:r>
    </w:p>
    <w:p w14:paraId="5FF57F9F"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30</w:t>
      </w:r>
      <w:r>
        <w:rPr>
          <w:rFonts w:ascii="宋体" w:hAnsi="宋体" w:hint="eastAsia"/>
          <w:szCs w:val="21"/>
        </w:rPr>
        <w:t>、</w:t>
      </w:r>
      <w:r>
        <w:rPr>
          <w:rFonts w:ascii="宋体" w:hAnsi="宋体"/>
          <w:szCs w:val="21"/>
        </w:rPr>
        <w:t>基金合同生效日：指基金募集达到法律法规规定及基金合同规定的条件，基金管理人向中国证监会办理基金备案手续完毕，并获得中国证监会书面确认的日期</w:t>
      </w:r>
    </w:p>
    <w:p w14:paraId="682DDEC3"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31</w:t>
      </w:r>
      <w:r>
        <w:rPr>
          <w:rFonts w:ascii="宋体" w:hAnsi="宋体" w:hint="eastAsia"/>
          <w:szCs w:val="21"/>
        </w:rPr>
        <w:t>、</w:t>
      </w:r>
      <w:r>
        <w:rPr>
          <w:rFonts w:ascii="宋体" w:hAnsi="宋体"/>
          <w:szCs w:val="21"/>
        </w:rPr>
        <w:t>基金合同终止日：指基金合同规定的基金合同终止事由出现后，基金财产清算完毕，清算结果报中国证监会备案并予以公告的日期</w:t>
      </w:r>
    </w:p>
    <w:p w14:paraId="42C7BD2D"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3</w:t>
      </w:r>
      <w:r>
        <w:rPr>
          <w:rFonts w:ascii="宋体" w:hAnsi="宋体"/>
          <w:szCs w:val="21"/>
        </w:rPr>
        <w:t>2</w:t>
      </w:r>
      <w:r>
        <w:rPr>
          <w:rFonts w:ascii="宋体" w:hAnsi="宋体" w:hint="eastAsia"/>
          <w:szCs w:val="21"/>
        </w:rPr>
        <w:t>、</w:t>
      </w:r>
      <w:r>
        <w:rPr>
          <w:rFonts w:ascii="宋体" w:hAnsi="宋体"/>
          <w:szCs w:val="21"/>
        </w:rPr>
        <w:t>基金募集期：指自基金份额发售之日起至发售结束之日止的期间，最长不得超过</w:t>
      </w:r>
      <w:r>
        <w:rPr>
          <w:rFonts w:ascii="宋体" w:hAnsi="宋体" w:hint="eastAsia"/>
          <w:szCs w:val="21"/>
        </w:rPr>
        <w:t>三</w:t>
      </w:r>
      <w:r>
        <w:rPr>
          <w:rFonts w:ascii="宋体" w:hAnsi="宋体"/>
          <w:szCs w:val="21"/>
        </w:rPr>
        <w:t>个月</w:t>
      </w:r>
    </w:p>
    <w:p w14:paraId="03B13521"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3</w:t>
      </w:r>
      <w:r>
        <w:rPr>
          <w:rFonts w:ascii="宋体" w:hAnsi="宋体"/>
          <w:szCs w:val="21"/>
        </w:rPr>
        <w:t>3</w:t>
      </w:r>
      <w:r>
        <w:rPr>
          <w:rFonts w:ascii="宋体" w:hAnsi="宋体" w:hint="eastAsia"/>
          <w:szCs w:val="21"/>
        </w:rPr>
        <w:t>、</w:t>
      </w:r>
      <w:r>
        <w:rPr>
          <w:rFonts w:ascii="宋体" w:hAnsi="宋体"/>
          <w:szCs w:val="21"/>
        </w:rPr>
        <w:t>存续期：指基金合同生效至终止之间的不定期期限</w:t>
      </w:r>
    </w:p>
    <w:p w14:paraId="404FD4EE"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lastRenderedPageBreak/>
        <w:t>34</w:t>
      </w:r>
      <w:r>
        <w:rPr>
          <w:rFonts w:ascii="宋体" w:hAnsi="宋体" w:hint="eastAsia"/>
          <w:szCs w:val="21"/>
        </w:rPr>
        <w:t>、</w:t>
      </w:r>
      <w:r>
        <w:rPr>
          <w:rFonts w:ascii="宋体" w:hAnsi="宋体"/>
          <w:szCs w:val="21"/>
        </w:rPr>
        <w:t>工作日：指上海证券交易所、深圳证券交易所的正常交易日</w:t>
      </w:r>
    </w:p>
    <w:p w14:paraId="51A8932A"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35</w:t>
      </w:r>
      <w:r>
        <w:rPr>
          <w:rFonts w:ascii="宋体" w:hAnsi="宋体" w:hint="eastAsia"/>
          <w:szCs w:val="21"/>
        </w:rPr>
        <w:t>、</w:t>
      </w:r>
      <w:r>
        <w:rPr>
          <w:rFonts w:ascii="宋体" w:hAnsi="宋体"/>
          <w:szCs w:val="21"/>
        </w:rPr>
        <w:t>T日：指销售机构在规定时间受理投资人申购、赎回或其他业务申请的开放日</w:t>
      </w:r>
    </w:p>
    <w:p w14:paraId="4B2290E4"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36</w:t>
      </w:r>
      <w:r>
        <w:rPr>
          <w:rFonts w:ascii="宋体" w:hAnsi="宋体" w:hint="eastAsia"/>
          <w:szCs w:val="21"/>
        </w:rPr>
        <w:t>、</w:t>
      </w:r>
      <w:proofErr w:type="spellStart"/>
      <w:r>
        <w:rPr>
          <w:rFonts w:ascii="宋体" w:hAnsi="宋体"/>
          <w:szCs w:val="21"/>
        </w:rPr>
        <w:t>T+n</w:t>
      </w:r>
      <w:proofErr w:type="spellEnd"/>
      <w:r>
        <w:rPr>
          <w:rFonts w:ascii="宋体" w:hAnsi="宋体"/>
          <w:szCs w:val="21"/>
        </w:rPr>
        <w:t>日：指自T日起第n</w:t>
      </w:r>
      <w:proofErr w:type="gramStart"/>
      <w:r>
        <w:rPr>
          <w:rFonts w:ascii="宋体" w:hAnsi="宋体"/>
          <w:szCs w:val="21"/>
        </w:rPr>
        <w:t>个</w:t>
      </w:r>
      <w:proofErr w:type="gramEnd"/>
      <w:r>
        <w:rPr>
          <w:rFonts w:ascii="宋体" w:hAnsi="宋体"/>
          <w:szCs w:val="21"/>
        </w:rPr>
        <w:t>工作日(不包含T日)</w:t>
      </w:r>
      <w:r>
        <w:rPr>
          <w:rFonts w:ascii="宋体" w:hAnsi="宋体" w:hint="eastAsia"/>
          <w:szCs w:val="21"/>
        </w:rPr>
        <w:t>，n为自然数</w:t>
      </w:r>
    </w:p>
    <w:p w14:paraId="081D647B"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37</w:t>
      </w:r>
      <w:r>
        <w:rPr>
          <w:rFonts w:ascii="宋体" w:hAnsi="宋体" w:hint="eastAsia"/>
          <w:szCs w:val="21"/>
        </w:rPr>
        <w:t>、</w:t>
      </w:r>
      <w:r>
        <w:rPr>
          <w:rFonts w:ascii="宋体" w:hAnsi="宋体"/>
          <w:szCs w:val="21"/>
        </w:rPr>
        <w:t>开放日：指为投资人办理基金份额申购、赎回或其他业务的工作日</w:t>
      </w:r>
    </w:p>
    <w:p w14:paraId="6AA47A81"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38</w:t>
      </w:r>
      <w:r>
        <w:rPr>
          <w:rFonts w:ascii="宋体" w:hAnsi="宋体" w:hint="eastAsia"/>
          <w:szCs w:val="21"/>
        </w:rPr>
        <w:t>、</w:t>
      </w:r>
      <w:r>
        <w:rPr>
          <w:rFonts w:ascii="宋体" w:hAnsi="宋体"/>
          <w:szCs w:val="21"/>
        </w:rPr>
        <w:t>开放时间：指开放日基金接受申购、赎回或其他交易的时间段</w:t>
      </w:r>
    </w:p>
    <w:p w14:paraId="42FC8D11"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39</w:t>
      </w:r>
      <w:r>
        <w:rPr>
          <w:rFonts w:ascii="宋体" w:hAnsi="宋体" w:hint="eastAsia"/>
          <w:szCs w:val="21"/>
        </w:rPr>
        <w:t>、</w:t>
      </w:r>
      <w:r>
        <w:rPr>
          <w:rFonts w:ascii="宋体" w:hAnsi="宋体"/>
          <w:szCs w:val="21"/>
        </w:rPr>
        <w:t>《业务规则》：指《</w:t>
      </w:r>
      <w:r>
        <w:rPr>
          <w:rFonts w:ascii="宋体" w:hAnsi="宋体" w:hint="eastAsia"/>
          <w:szCs w:val="21"/>
        </w:rPr>
        <w:t>东海基金管理有限责任公司</w:t>
      </w:r>
      <w:r>
        <w:rPr>
          <w:rFonts w:ascii="宋体" w:hAnsi="宋体"/>
          <w:szCs w:val="21"/>
        </w:rPr>
        <w:t>开放式基金业务规则》，是规范基金管理人所管理的开放式证券投资基金登记方面的业务规则，由基金管理人和投资人共同遵守</w:t>
      </w:r>
    </w:p>
    <w:p w14:paraId="6DBC95B9"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40</w:t>
      </w:r>
      <w:r>
        <w:rPr>
          <w:rFonts w:ascii="宋体" w:hAnsi="宋体" w:hint="eastAsia"/>
          <w:szCs w:val="21"/>
        </w:rPr>
        <w:t>、</w:t>
      </w:r>
      <w:r>
        <w:rPr>
          <w:rFonts w:ascii="宋体" w:hAnsi="宋体"/>
          <w:szCs w:val="21"/>
        </w:rPr>
        <w:t>认购：指在基金募集期内，投资人根据基金合同和招募说明书的规定申请购买基金份额的行为</w:t>
      </w:r>
    </w:p>
    <w:p w14:paraId="76C8BE29"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41</w:t>
      </w:r>
      <w:r>
        <w:rPr>
          <w:rFonts w:ascii="宋体" w:hAnsi="宋体" w:hint="eastAsia"/>
          <w:szCs w:val="21"/>
        </w:rPr>
        <w:t>、</w:t>
      </w:r>
      <w:r>
        <w:rPr>
          <w:rFonts w:ascii="宋体" w:hAnsi="宋体"/>
          <w:szCs w:val="21"/>
        </w:rPr>
        <w:t>申购：指基金合同生效后，投资人根据基金合同和招募说明书的规定申请购买基金份额的行为</w:t>
      </w:r>
    </w:p>
    <w:p w14:paraId="0E3410BA"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4</w:t>
      </w:r>
      <w:r>
        <w:rPr>
          <w:rFonts w:ascii="宋体" w:hAnsi="宋体"/>
          <w:szCs w:val="21"/>
        </w:rPr>
        <w:t>2</w:t>
      </w:r>
      <w:r>
        <w:rPr>
          <w:rFonts w:ascii="宋体" w:hAnsi="宋体" w:hint="eastAsia"/>
          <w:szCs w:val="21"/>
        </w:rPr>
        <w:t>、</w:t>
      </w:r>
      <w:r>
        <w:rPr>
          <w:rFonts w:ascii="宋体" w:hAnsi="宋体"/>
          <w:szCs w:val="21"/>
        </w:rPr>
        <w:t>赎回：指基金合同生效后，基金份额持有人按基金合同</w:t>
      </w:r>
      <w:r>
        <w:rPr>
          <w:rFonts w:ascii="宋体" w:hAnsi="宋体" w:hint="eastAsia"/>
          <w:szCs w:val="21"/>
        </w:rPr>
        <w:t>和招募说明书</w:t>
      </w:r>
      <w:r>
        <w:rPr>
          <w:rFonts w:ascii="宋体" w:hAnsi="宋体"/>
          <w:szCs w:val="21"/>
        </w:rPr>
        <w:t>规定的条件要求将基金份额兑换为现金的行为</w:t>
      </w:r>
    </w:p>
    <w:p w14:paraId="7E725D59"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4</w:t>
      </w:r>
      <w:r>
        <w:rPr>
          <w:rFonts w:ascii="宋体" w:hAnsi="宋体"/>
          <w:szCs w:val="21"/>
        </w:rPr>
        <w:t>3</w:t>
      </w:r>
      <w:r>
        <w:rPr>
          <w:rFonts w:ascii="宋体" w:hAnsi="宋体" w:hint="eastAsia"/>
          <w:szCs w:val="21"/>
        </w:rPr>
        <w:t>、</w:t>
      </w:r>
      <w:r>
        <w:rPr>
          <w:rFonts w:ascii="宋体" w:hAnsi="宋体"/>
          <w:szCs w:val="21"/>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szCs w:val="21"/>
        </w:rPr>
        <w:t>基金</w:t>
      </w:r>
      <w:r>
        <w:rPr>
          <w:rFonts w:ascii="宋体" w:hAnsi="宋体"/>
          <w:szCs w:val="21"/>
        </w:rPr>
        <w:t>基金</w:t>
      </w:r>
      <w:proofErr w:type="gramEnd"/>
      <w:r>
        <w:rPr>
          <w:rFonts w:ascii="宋体" w:hAnsi="宋体"/>
          <w:szCs w:val="21"/>
        </w:rPr>
        <w:t>份额的行为</w:t>
      </w:r>
    </w:p>
    <w:p w14:paraId="04741EDD"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44</w:t>
      </w:r>
      <w:r>
        <w:rPr>
          <w:rFonts w:ascii="宋体" w:hAnsi="宋体" w:hint="eastAsia"/>
          <w:szCs w:val="21"/>
        </w:rPr>
        <w:t>、</w:t>
      </w:r>
      <w:r>
        <w:rPr>
          <w:rFonts w:ascii="宋体" w:hAnsi="宋体"/>
          <w:szCs w:val="21"/>
        </w:rPr>
        <w:t>转托管：指基金份额持有人在本基金的不同销售机构之间实施的变更所持基金份额销售机构的操作</w:t>
      </w:r>
    </w:p>
    <w:p w14:paraId="75D0BDC1"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45</w:t>
      </w:r>
      <w:r>
        <w:rPr>
          <w:rFonts w:ascii="宋体" w:hAnsi="宋体" w:hint="eastAsia"/>
          <w:szCs w:val="21"/>
        </w:rPr>
        <w:t>、</w:t>
      </w:r>
      <w:r>
        <w:rPr>
          <w:rFonts w:ascii="宋体" w:hAnsi="宋体" w:hint="eastAsia"/>
          <w:bCs/>
          <w:szCs w:val="21"/>
        </w:rPr>
        <w:t>定期定额投资</w:t>
      </w:r>
      <w:r>
        <w:rPr>
          <w:rFonts w:ascii="宋体" w:hAnsi="宋体"/>
          <w:bCs/>
          <w:szCs w:val="21"/>
        </w:rPr>
        <w:t>计划：指投资人通过有关销售机构提出申请，约定每期</w:t>
      </w:r>
      <w:r>
        <w:rPr>
          <w:rFonts w:ascii="宋体" w:hAnsi="宋体" w:hint="eastAsia"/>
          <w:bCs/>
          <w:szCs w:val="21"/>
        </w:rPr>
        <w:t>申购</w:t>
      </w:r>
      <w:r>
        <w:rPr>
          <w:rFonts w:ascii="宋体" w:hAnsi="宋体"/>
          <w:bCs/>
          <w:szCs w:val="21"/>
        </w:rPr>
        <w:t>日、</w:t>
      </w:r>
      <w:r>
        <w:rPr>
          <w:rFonts w:ascii="宋体" w:hAnsi="宋体" w:hint="eastAsia"/>
          <w:bCs/>
          <w:szCs w:val="21"/>
        </w:rPr>
        <w:t>扣款</w:t>
      </w:r>
      <w:r>
        <w:rPr>
          <w:rFonts w:ascii="宋体" w:hAnsi="宋体"/>
          <w:bCs/>
          <w:szCs w:val="21"/>
        </w:rPr>
        <w:t>金额及扣款方式，由销售机构于每期约定</w:t>
      </w:r>
      <w:r>
        <w:rPr>
          <w:rFonts w:ascii="宋体" w:hAnsi="宋体" w:hint="eastAsia"/>
          <w:bCs/>
          <w:szCs w:val="21"/>
        </w:rPr>
        <w:t>扣款</w:t>
      </w:r>
      <w:r>
        <w:rPr>
          <w:rFonts w:ascii="宋体" w:hAnsi="宋体"/>
          <w:bCs/>
          <w:szCs w:val="21"/>
        </w:rPr>
        <w:t>日在投资人指定银行账户内自动完成扣款及</w:t>
      </w:r>
      <w:r>
        <w:rPr>
          <w:rFonts w:ascii="宋体" w:hAnsi="宋体" w:hint="eastAsia"/>
          <w:bCs/>
          <w:szCs w:val="21"/>
        </w:rPr>
        <w:t>受理</w:t>
      </w:r>
      <w:r>
        <w:rPr>
          <w:rFonts w:ascii="宋体" w:hAnsi="宋体"/>
          <w:bCs/>
          <w:szCs w:val="21"/>
        </w:rPr>
        <w:t>基金申购申请的一种投资方式</w:t>
      </w:r>
    </w:p>
    <w:p w14:paraId="640C7B2A"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46</w:t>
      </w:r>
      <w:r>
        <w:rPr>
          <w:rFonts w:ascii="宋体" w:hAnsi="宋体" w:hint="eastAsia"/>
          <w:szCs w:val="21"/>
        </w:rPr>
        <w:t>、</w:t>
      </w:r>
      <w:r>
        <w:rPr>
          <w:rFonts w:ascii="宋体" w:hAnsi="宋体"/>
          <w:szCs w:val="21"/>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宋体" w:hAnsi="宋体" w:hint="eastAsia"/>
          <w:szCs w:val="21"/>
        </w:rPr>
        <w:t>10%</w:t>
      </w:r>
    </w:p>
    <w:p w14:paraId="4DDDE362"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47</w:t>
      </w:r>
      <w:r>
        <w:rPr>
          <w:rFonts w:ascii="宋体" w:hAnsi="宋体" w:hint="eastAsia"/>
          <w:szCs w:val="21"/>
        </w:rPr>
        <w:t>、</w:t>
      </w:r>
      <w:r>
        <w:rPr>
          <w:rFonts w:ascii="宋体" w:hAnsi="宋体"/>
          <w:szCs w:val="21"/>
        </w:rPr>
        <w:t>元：指人民币元</w:t>
      </w:r>
    </w:p>
    <w:p w14:paraId="5468FA5F"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4</w:t>
      </w:r>
      <w:r>
        <w:rPr>
          <w:rFonts w:ascii="宋体" w:hAnsi="宋体"/>
          <w:szCs w:val="21"/>
        </w:rPr>
        <w:t>8</w:t>
      </w:r>
      <w:r>
        <w:rPr>
          <w:rFonts w:ascii="宋体" w:hAnsi="宋体" w:hint="eastAsia"/>
          <w:szCs w:val="21"/>
        </w:rPr>
        <w:t>、基金收益：指基金投资所得债券利息、买卖证券价差、银行存款利息、已实现的其他合法收入及因运用基金财产带来的成本和费用的节约</w:t>
      </w:r>
    </w:p>
    <w:p w14:paraId="5A59EB32"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49</w:t>
      </w:r>
      <w:r>
        <w:rPr>
          <w:rFonts w:ascii="宋体" w:hAnsi="宋体" w:hint="eastAsia"/>
          <w:szCs w:val="21"/>
        </w:rPr>
        <w:t>、</w:t>
      </w:r>
      <w:r>
        <w:rPr>
          <w:rFonts w:ascii="宋体" w:hAnsi="宋体"/>
          <w:szCs w:val="21"/>
        </w:rPr>
        <w:t>基金资产总值：指基金拥有的各类有价证券、银行存款本息、基金应收申购款及其他资产的价值总和</w:t>
      </w:r>
    </w:p>
    <w:p w14:paraId="46A0D174"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50</w:t>
      </w:r>
      <w:r>
        <w:rPr>
          <w:rFonts w:ascii="宋体" w:hAnsi="宋体" w:hint="eastAsia"/>
          <w:szCs w:val="21"/>
        </w:rPr>
        <w:t>、</w:t>
      </w:r>
      <w:r>
        <w:rPr>
          <w:rFonts w:ascii="宋体" w:hAnsi="宋体"/>
          <w:szCs w:val="21"/>
        </w:rPr>
        <w:t>基金资产净值：指基金资产总值减去基金负债后的价值</w:t>
      </w:r>
    </w:p>
    <w:p w14:paraId="22902563"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51</w:t>
      </w:r>
      <w:r>
        <w:rPr>
          <w:rFonts w:ascii="宋体" w:hAnsi="宋体" w:hint="eastAsia"/>
          <w:szCs w:val="21"/>
        </w:rPr>
        <w:t>、</w:t>
      </w:r>
      <w:r>
        <w:rPr>
          <w:rFonts w:ascii="宋体" w:hAnsi="宋体"/>
          <w:szCs w:val="21"/>
        </w:rPr>
        <w:t>基金份额净值：指计算日基金资产净值除以计算日基金份额总数</w:t>
      </w:r>
    </w:p>
    <w:p w14:paraId="0EF6FD11"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5</w:t>
      </w:r>
      <w:r>
        <w:rPr>
          <w:rFonts w:ascii="宋体" w:hAnsi="宋体"/>
          <w:szCs w:val="21"/>
        </w:rPr>
        <w:t>2</w:t>
      </w:r>
      <w:r>
        <w:rPr>
          <w:rFonts w:ascii="宋体" w:hAnsi="宋体" w:hint="eastAsia"/>
          <w:szCs w:val="21"/>
        </w:rPr>
        <w:t>、</w:t>
      </w:r>
      <w:r>
        <w:rPr>
          <w:rFonts w:ascii="宋体" w:hAnsi="宋体"/>
          <w:szCs w:val="21"/>
        </w:rPr>
        <w:t>基金资产估值：指计算评估基金资产和负债的价值，以确定基金资产净值和基金份额净值的过程</w:t>
      </w:r>
    </w:p>
    <w:p w14:paraId="34572E32"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lastRenderedPageBreak/>
        <w:t>5</w:t>
      </w:r>
      <w:r>
        <w:rPr>
          <w:rFonts w:ascii="宋体" w:hAnsi="宋体"/>
          <w:szCs w:val="21"/>
        </w:rPr>
        <w:t>3</w:t>
      </w:r>
      <w:r>
        <w:rPr>
          <w:rFonts w:ascii="宋体" w:hAnsi="宋体" w:hint="eastAsia"/>
          <w:szCs w:val="21"/>
        </w:rPr>
        <w:t>、</w:t>
      </w:r>
      <w:r>
        <w:rPr>
          <w:rFonts w:ascii="宋体" w:hAnsi="宋体"/>
          <w:szCs w:val="21"/>
        </w:rPr>
        <w:t>指定媒介：指中国证监会指定的用以进行信息披露的</w:t>
      </w:r>
      <w:r>
        <w:rPr>
          <w:rFonts w:ascii="宋体" w:hAnsi="宋体" w:hint="eastAsia"/>
          <w:szCs w:val="21"/>
        </w:rPr>
        <w:t>全国性报刊、指定互联网网站</w:t>
      </w:r>
      <w:r>
        <w:rPr>
          <w:rFonts w:ascii="宋体" w:hAnsi="宋体" w:hint="eastAsia"/>
          <w:bCs/>
          <w:szCs w:val="21"/>
        </w:rPr>
        <w:t>（包括基金管理人网站、基金托管人网站、中国证监会基金电子披露网站）等</w:t>
      </w:r>
      <w:r>
        <w:rPr>
          <w:rFonts w:ascii="宋体" w:hAnsi="宋体"/>
          <w:szCs w:val="21"/>
        </w:rPr>
        <w:t>媒介</w:t>
      </w:r>
    </w:p>
    <w:p w14:paraId="0F9416C6" w14:textId="77777777" w:rsidR="00706097" w:rsidRDefault="00DA6858">
      <w:pPr>
        <w:adjustRightInd w:val="0"/>
        <w:snapToGrid w:val="0"/>
        <w:spacing w:line="360" w:lineRule="auto"/>
        <w:ind w:firstLineChars="201" w:firstLine="422"/>
        <w:rPr>
          <w:rFonts w:ascii="宋体" w:hAnsi="宋体"/>
          <w:bCs/>
          <w:szCs w:val="21"/>
        </w:rPr>
      </w:pPr>
      <w:r>
        <w:rPr>
          <w:rFonts w:ascii="宋体" w:hAnsi="宋体" w:hint="eastAsia"/>
          <w:bCs/>
          <w:szCs w:val="21"/>
        </w:rPr>
        <w:t>5</w:t>
      </w:r>
      <w:r>
        <w:rPr>
          <w:rFonts w:ascii="宋体" w:hAnsi="宋体"/>
          <w:bCs/>
          <w:szCs w:val="21"/>
        </w:rPr>
        <w:t>4</w:t>
      </w:r>
      <w:r>
        <w:rPr>
          <w:rFonts w:ascii="宋体" w:hAnsi="宋体" w:hint="eastAsia"/>
          <w:bCs/>
          <w:szCs w:val="21"/>
        </w:rPr>
        <w:t>、销售服务费：指从基金财产中计提的，用于本基金市场推广、销售以及基金份额持有人服务的费用</w:t>
      </w:r>
    </w:p>
    <w:p w14:paraId="3F3A5EE8" w14:textId="77777777" w:rsidR="00706097" w:rsidRDefault="00DA6858">
      <w:pPr>
        <w:adjustRightInd w:val="0"/>
        <w:snapToGrid w:val="0"/>
        <w:spacing w:line="360" w:lineRule="auto"/>
        <w:ind w:firstLineChars="201" w:firstLine="422"/>
        <w:rPr>
          <w:rFonts w:ascii="宋体" w:hAnsi="宋体"/>
          <w:bCs/>
          <w:szCs w:val="21"/>
        </w:rPr>
      </w:pPr>
      <w:r>
        <w:rPr>
          <w:rFonts w:ascii="宋体" w:hAnsi="宋体"/>
          <w:bCs/>
          <w:szCs w:val="21"/>
        </w:rPr>
        <w:t>55</w:t>
      </w:r>
      <w:r>
        <w:rPr>
          <w:rFonts w:ascii="宋体" w:hAnsi="宋体" w:hint="eastAsia"/>
          <w:bCs/>
          <w:szCs w:val="21"/>
        </w:rPr>
        <w:t>、</w:t>
      </w:r>
      <w:r>
        <w:rPr>
          <w:rFonts w:ascii="宋体" w:hAnsi="宋体"/>
          <w:bCs/>
          <w:szCs w:val="21"/>
        </w:rPr>
        <w:t>A类基金份额：指在投资人认购、申购基金时收取认购费、申购费，但不计</w:t>
      </w:r>
      <w:proofErr w:type="gramStart"/>
      <w:r>
        <w:rPr>
          <w:rFonts w:ascii="宋体" w:hAnsi="宋体"/>
          <w:bCs/>
          <w:szCs w:val="21"/>
        </w:rPr>
        <w:t>提销售</w:t>
      </w:r>
      <w:proofErr w:type="gramEnd"/>
      <w:r>
        <w:rPr>
          <w:rFonts w:ascii="宋体" w:hAnsi="宋体"/>
          <w:bCs/>
          <w:szCs w:val="21"/>
        </w:rPr>
        <w:t>服务费的基金份额类别</w:t>
      </w:r>
    </w:p>
    <w:p w14:paraId="3D57ADDE" w14:textId="77777777" w:rsidR="00706097" w:rsidRDefault="00DA6858">
      <w:pPr>
        <w:adjustRightInd w:val="0"/>
        <w:snapToGrid w:val="0"/>
        <w:spacing w:line="360" w:lineRule="auto"/>
        <w:ind w:firstLineChars="201" w:firstLine="422"/>
        <w:rPr>
          <w:rFonts w:ascii="宋体" w:hAnsi="宋体"/>
          <w:bCs/>
          <w:szCs w:val="21"/>
        </w:rPr>
      </w:pPr>
      <w:r>
        <w:rPr>
          <w:rFonts w:ascii="宋体" w:hAnsi="宋体"/>
          <w:bCs/>
          <w:szCs w:val="21"/>
        </w:rPr>
        <w:t>56</w:t>
      </w:r>
      <w:r>
        <w:rPr>
          <w:rFonts w:ascii="宋体" w:hAnsi="宋体" w:hint="eastAsia"/>
          <w:bCs/>
          <w:szCs w:val="21"/>
        </w:rPr>
        <w:t>、</w:t>
      </w:r>
      <w:r>
        <w:rPr>
          <w:rFonts w:ascii="宋体" w:hAnsi="宋体"/>
          <w:bCs/>
          <w:szCs w:val="21"/>
        </w:rPr>
        <w:t>C类</w:t>
      </w:r>
      <w:r>
        <w:rPr>
          <w:rFonts w:ascii="宋体" w:hAnsi="宋体" w:hint="eastAsia"/>
          <w:bCs/>
          <w:szCs w:val="21"/>
        </w:rPr>
        <w:t>、E类</w:t>
      </w:r>
      <w:r>
        <w:rPr>
          <w:rFonts w:ascii="宋体" w:hAnsi="宋体"/>
          <w:bCs/>
          <w:szCs w:val="21"/>
        </w:rPr>
        <w:t>基金份额：指不收取认购费、申购费，而是从本类别基金资产中计</w:t>
      </w:r>
      <w:proofErr w:type="gramStart"/>
      <w:r>
        <w:rPr>
          <w:rFonts w:ascii="宋体" w:hAnsi="宋体"/>
          <w:bCs/>
          <w:szCs w:val="21"/>
        </w:rPr>
        <w:t>提销售</w:t>
      </w:r>
      <w:proofErr w:type="gramEnd"/>
      <w:r>
        <w:rPr>
          <w:rFonts w:ascii="宋体" w:hAnsi="宋体"/>
          <w:bCs/>
          <w:szCs w:val="21"/>
        </w:rPr>
        <w:t>服务费的基金份额类别</w:t>
      </w:r>
    </w:p>
    <w:p w14:paraId="67B5F157"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5</w:t>
      </w:r>
      <w:r>
        <w:rPr>
          <w:rFonts w:ascii="宋体" w:hAnsi="宋体"/>
          <w:szCs w:val="21"/>
        </w:rPr>
        <w:t>7</w:t>
      </w:r>
      <w:r>
        <w:rPr>
          <w:rFonts w:ascii="宋体" w:hAnsi="宋体" w:hint="eastAsia"/>
          <w:szCs w:val="21"/>
        </w:rPr>
        <w:t>、流动性受限资产：指由于法律法规、监管、合同或操作障碍等原因无法以合理价格予以变现的资产，包括但不限于到期日在10个交易日以上的逆回购与银行定期存款（</w:t>
      </w:r>
      <w:proofErr w:type="gramStart"/>
      <w:r>
        <w:rPr>
          <w:rFonts w:ascii="宋体" w:hAnsi="宋体" w:hint="eastAsia"/>
          <w:szCs w:val="21"/>
        </w:rPr>
        <w:t>含协议</w:t>
      </w:r>
      <w:proofErr w:type="gramEnd"/>
      <w:r>
        <w:rPr>
          <w:rFonts w:ascii="宋体" w:hAnsi="宋体" w:hint="eastAsia"/>
          <w:szCs w:val="21"/>
        </w:rPr>
        <w:t>约定有条件提前支取的银行存款）、停牌股票、流通受限的新股及非公开发行股票、资产支持证券、因发行人债务违约无法进行转让或交易的债券等</w:t>
      </w:r>
    </w:p>
    <w:p w14:paraId="49F892B0"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5</w:t>
      </w:r>
      <w:r>
        <w:rPr>
          <w:rFonts w:ascii="宋体" w:hAnsi="宋体"/>
          <w:szCs w:val="21"/>
        </w:rPr>
        <w:t>8</w:t>
      </w:r>
      <w:r>
        <w:rPr>
          <w:rFonts w:ascii="宋体" w:hAnsi="宋体"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60203BFB"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5</w:t>
      </w:r>
      <w:r>
        <w:rPr>
          <w:rFonts w:ascii="宋体" w:hAnsi="宋体"/>
          <w:szCs w:val="21"/>
        </w:rPr>
        <w:t>9</w:t>
      </w:r>
      <w:r>
        <w:rPr>
          <w:rFonts w:ascii="宋体" w:hAnsi="宋体" w:hint="eastAsia"/>
          <w:szCs w:val="21"/>
        </w:rPr>
        <w:t>、</w:t>
      </w:r>
      <w:proofErr w:type="gramStart"/>
      <w:r>
        <w:rPr>
          <w:rFonts w:ascii="宋体" w:hAnsi="宋体" w:hint="eastAsia"/>
          <w:szCs w:val="21"/>
        </w:rPr>
        <w:t>侧袋机制</w:t>
      </w:r>
      <w:proofErr w:type="gramEnd"/>
      <w:r>
        <w:rPr>
          <w:rFonts w:ascii="宋体" w:hAnsi="宋体" w:hint="eastAsia"/>
          <w:szCs w:val="21"/>
        </w:rPr>
        <w:t>：指将基金投资组合中的特定资产从原有账户分离至一个专门账户进行处置清算，目的在于有效隔离并化解风险，确保投资者得到公平对待，属于流动性风险管理工具。</w:t>
      </w:r>
      <w:proofErr w:type="gramStart"/>
      <w:r>
        <w:rPr>
          <w:rFonts w:ascii="宋体" w:hAnsi="宋体" w:hint="eastAsia"/>
          <w:szCs w:val="21"/>
        </w:rPr>
        <w:t>侧袋机制</w:t>
      </w:r>
      <w:proofErr w:type="gramEnd"/>
      <w:r>
        <w:rPr>
          <w:rFonts w:ascii="宋体" w:hAnsi="宋体" w:hint="eastAsia"/>
          <w:szCs w:val="21"/>
        </w:rPr>
        <w:t>实施期间，原有账户称为主袋账户，专门账户</w:t>
      </w:r>
      <w:proofErr w:type="gramStart"/>
      <w:r>
        <w:rPr>
          <w:rFonts w:ascii="宋体" w:hAnsi="宋体" w:hint="eastAsia"/>
          <w:szCs w:val="21"/>
        </w:rPr>
        <w:t>称为侧袋账户</w:t>
      </w:r>
      <w:proofErr w:type="gramEnd"/>
    </w:p>
    <w:p w14:paraId="4FAA086A"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60</w:t>
      </w:r>
      <w:r>
        <w:rPr>
          <w:rFonts w:ascii="宋体" w:hAnsi="宋体" w:hint="eastAsia"/>
          <w:szCs w:val="21"/>
        </w:rPr>
        <w:t>、特定资产：包括：（一）无可参考的活跃市场价格且采用估值技术</w:t>
      </w:r>
      <w:proofErr w:type="gramStart"/>
      <w:r>
        <w:rPr>
          <w:rFonts w:ascii="宋体" w:hAnsi="宋体" w:hint="eastAsia"/>
          <w:szCs w:val="21"/>
        </w:rPr>
        <w:t>仍导致</w:t>
      </w:r>
      <w:proofErr w:type="gramEnd"/>
      <w:r>
        <w:rPr>
          <w:rFonts w:ascii="宋体" w:hAnsi="宋体" w:hint="eastAsia"/>
          <w:szCs w:val="21"/>
        </w:rPr>
        <w:t>公允价值存在重大不确定性的资产；（二）</w:t>
      </w:r>
      <w:proofErr w:type="gramStart"/>
      <w:r>
        <w:rPr>
          <w:rFonts w:ascii="宋体" w:hAnsi="宋体" w:hint="eastAsia"/>
          <w:szCs w:val="21"/>
        </w:rPr>
        <w:t>按摊余成本</w:t>
      </w:r>
      <w:proofErr w:type="gramEnd"/>
      <w:r>
        <w:rPr>
          <w:rFonts w:ascii="宋体" w:hAnsi="宋体" w:hint="eastAsia"/>
          <w:szCs w:val="21"/>
        </w:rPr>
        <w:t>计量且计提资产减值</w:t>
      </w:r>
      <w:proofErr w:type="gramStart"/>
      <w:r>
        <w:rPr>
          <w:rFonts w:ascii="宋体" w:hAnsi="宋体" w:hint="eastAsia"/>
          <w:szCs w:val="21"/>
        </w:rPr>
        <w:t>准备仍导致</w:t>
      </w:r>
      <w:proofErr w:type="gramEnd"/>
      <w:r>
        <w:rPr>
          <w:rFonts w:ascii="宋体" w:hAnsi="宋体" w:hint="eastAsia"/>
          <w:szCs w:val="21"/>
        </w:rPr>
        <w:t>资产价值存在重大不确定性的资产；（三）其他资产价值存在重大不确定性的资产</w:t>
      </w:r>
    </w:p>
    <w:p w14:paraId="4911AA7E" w14:textId="77777777" w:rsidR="00706097" w:rsidRDefault="00DA6858">
      <w:pPr>
        <w:adjustRightInd w:val="0"/>
        <w:snapToGrid w:val="0"/>
        <w:spacing w:line="360" w:lineRule="auto"/>
        <w:ind w:firstLineChars="201" w:firstLine="422"/>
        <w:rPr>
          <w:rFonts w:ascii="宋体" w:hAnsi="宋体"/>
          <w:szCs w:val="21"/>
        </w:rPr>
      </w:pPr>
      <w:r>
        <w:rPr>
          <w:rFonts w:ascii="宋体" w:hAnsi="宋体"/>
          <w:szCs w:val="21"/>
        </w:rPr>
        <w:t>61</w:t>
      </w:r>
      <w:r>
        <w:rPr>
          <w:rFonts w:ascii="宋体" w:hAnsi="宋体" w:hint="eastAsia"/>
          <w:szCs w:val="21"/>
        </w:rPr>
        <w:t>、</w:t>
      </w:r>
      <w:r>
        <w:rPr>
          <w:rFonts w:ascii="宋体" w:hAnsi="宋体"/>
          <w:szCs w:val="21"/>
        </w:rPr>
        <w:t>不可抗力：指</w:t>
      </w:r>
      <w:r>
        <w:rPr>
          <w:rFonts w:ascii="宋体" w:hAnsi="宋体" w:hint="eastAsia"/>
          <w:szCs w:val="21"/>
        </w:rPr>
        <w:t>基金</w:t>
      </w:r>
      <w:r>
        <w:rPr>
          <w:rFonts w:ascii="宋体" w:hAnsi="宋体"/>
          <w:szCs w:val="21"/>
        </w:rPr>
        <w:t>合同当事人不能预见、不能避免且不能克服的客观事件</w:t>
      </w:r>
    </w:p>
    <w:p w14:paraId="45C67166" w14:textId="77777777" w:rsidR="00706097" w:rsidRDefault="00DA6858">
      <w:pPr>
        <w:adjustRightInd w:val="0"/>
        <w:snapToGrid w:val="0"/>
        <w:spacing w:line="360" w:lineRule="auto"/>
        <w:ind w:firstLineChars="201" w:firstLine="422"/>
        <w:rPr>
          <w:rFonts w:ascii="宋体" w:hAnsi="宋体"/>
          <w:szCs w:val="21"/>
        </w:rPr>
      </w:pPr>
      <w:r>
        <w:rPr>
          <w:rFonts w:ascii="宋体" w:hAnsi="宋体" w:hint="eastAsia"/>
          <w:szCs w:val="21"/>
        </w:rPr>
        <w:t>以上释义中涉及法律法规、业务规则的内容，法律法规、业务规则修订后，如适用本基金，相关内容以修订后法律法规、业务规则为准。</w:t>
      </w:r>
    </w:p>
    <w:p w14:paraId="68F936C9" w14:textId="77777777" w:rsidR="00706097" w:rsidRDefault="00DA6858">
      <w:pPr>
        <w:autoSpaceDE w:val="0"/>
        <w:autoSpaceDN w:val="0"/>
        <w:adjustRightInd w:val="0"/>
        <w:snapToGrid w:val="0"/>
        <w:spacing w:line="360" w:lineRule="auto"/>
        <w:ind w:leftChars="200" w:left="2730" w:hangingChars="1100" w:hanging="2310"/>
        <w:rPr>
          <w:rFonts w:ascii="宋体" w:hAnsi="宋体"/>
          <w:kern w:val="0"/>
          <w:szCs w:val="23"/>
        </w:rPr>
      </w:pPr>
      <w:r>
        <w:rPr>
          <w:rFonts w:ascii="宋体" w:hAnsi="宋体"/>
          <w:kern w:val="0"/>
          <w:szCs w:val="23"/>
        </w:rPr>
        <w:br w:type="page"/>
      </w:r>
    </w:p>
    <w:p w14:paraId="3BB7A9F7"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9" w:name="_Toc76483005"/>
      <w:r>
        <w:rPr>
          <w:rFonts w:ascii="宋体" w:eastAsia="宋体" w:hAnsi="宋体" w:hint="eastAsia"/>
        </w:rPr>
        <w:lastRenderedPageBreak/>
        <w:t>基金管理人</w:t>
      </w:r>
      <w:bookmarkEnd w:id="22"/>
      <w:bookmarkEnd w:id="23"/>
      <w:bookmarkEnd w:id="24"/>
      <w:bookmarkEnd w:id="25"/>
      <w:bookmarkEnd w:id="26"/>
      <w:bookmarkEnd w:id="27"/>
      <w:bookmarkEnd w:id="28"/>
      <w:bookmarkEnd w:id="29"/>
    </w:p>
    <w:p w14:paraId="1000469E" w14:textId="77777777" w:rsidR="00706097" w:rsidRDefault="00706097">
      <w:pPr>
        <w:adjustRightInd w:val="0"/>
        <w:snapToGrid w:val="0"/>
        <w:spacing w:line="360" w:lineRule="auto"/>
        <w:rPr>
          <w:rFonts w:ascii="宋体" w:hAnsi="宋体"/>
          <w:b/>
          <w:bCs/>
        </w:rPr>
      </w:pPr>
    </w:p>
    <w:p w14:paraId="5125284B" w14:textId="77777777" w:rsidR="00F73B72" w:rsidRDefault="00DA6858" w:rsidP="00F73B72">
      <w:pPr>
        <w:adjustRightInd w:val="0"/>
        <w:snapToGrid w:val="0"/>
        <w:spacing w:line="360" w:lineRule="auto"/>
        <w:rPr>
          <w:rFonts w:ascii="宋体" w:hAnsi="宋体"/>
          <w:b/>
          <w:bCs/>
        </w:rPr>
      </w:pPr>
      <w:r>
        <w:rPr>
          <w:rFonts w:ascii="宋体" w:hAnsi="宋体" w:hint="eastAsia"/>
          <w:b/>
          <w:bCs/>
        </w:rPr>
        <w:t xml:space="preserve">  </w:t>
      </w:r>
      <w:r w:rsidR="00F73B72">
        <w:rPr>
          <w:rFonts w:ascii="宋体" w:hAnsi="宋体" w:hint="eastAsia"/>
          <w:b/>
          <w:bCs/>
        </w:rPr>
        <w:t>一、基金管理人概况</w:t>
      </w:r>
    </w:p>
    <w:p w14:paraId="1987B378" w14:textId="77777777" w:rsidR="00F73B72" w:rsidRDefault="00F73B72" w:rsidP="00F73B72">
      <w:pPr>
        <w:adjustRightInd w:val="0"/>
        <w:snapToGrid w:val="0"/>
        <w:spacing w:line="360" w:lineRule="auto"/>
        <w:ind w:firstLineChars="200" w:firstLine="420"/>
        <w:rPr>
          <w:rFonts w:ascii="宋体" w:hAnsi="宋体"/>
          <w:szCs w:val="21"/>
        </w:rPr>
      </w:pPr>
      <w:bookmarkStart w:id="30" w:name="_Toc15118235"/>
      <w:r>
        <w:rPr>
          <w:rFonts w:ascii="宋体" w:hAnsi="宋体"/>
          <w:szCs w:val="21"/>
        </w:rPr>
        <w:t>（一）基金管理人简况</w:t>
      </w:r>
      <w:bookmarkEnd w:id="30"/>
    </w:p>
    <w:p w14:paraId="05FCBD7E" w14:textId="77777777" w:rsidR="00F73B72" w:rsidRDefault="00F73B72" w:rsidP="00F73B72">
      <w:pPr>
        <w:adjustRightInd w:val="0"/>
        <w:snapToGrid w:val="0"/>
        <w:spacing w:line="360" w:lineRule="auto"/>
        <w:ind w:firstLineChars="200" w:firstLine="420"/>
        <w:rPr>
          <w:rFonts w:ascii="宋体" w:hAnsi="宋体"/>
          <w:szCs w:val="21"/>
        </w:rPr>
      </w:pPr>
      <w:bookmarkStart w:id="31" w:name="_Toc15118236"/>
      <w:r>
        <w:rPr>
          <w:rFonts w:ascii="宋体" w:hAnsi="宋体"/>
          <w:szCs w:val="21"/>
        </w:rPr>
        <w:t>名称：</w:t>
      </w:r>
      <w:bookmarkEnd w:id="31"/>
      <w:r>
        <w:rPr>
          <w:rFonts w:ascii="宋体" w:hAnsi="宋体" w:hint="eastAsia"/>
          <w:szCs w:val="21"/>
        </w:rPr>
        <w:t>东海基金管理有限责任公司</w:t>
      </w:r>
    </w:p>
    <w:p w14:paraId="4BFE3568"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住所：上海市虹口区丰镇路806号3幢360室</w:t>
      </w:r>
    </w:p>
    <w:p w14:paraId="7253BE2E"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办公地址：</w:t>
      </w:r>
      <w:r>
        <w:rPr>
          <w:rStyle w:val="afff3"/>
        </w:rPr>
        <w:t>上海市浦东</w:t>
      </w:r>
      <w:proofErr w:type="gramStart"/>
      <w:r>
        <w:rPr>
          <w:rStyle w:val="afff3"/>
        </w:rPr>
        <w:t>新区世纪</w:t>
      </w:r>
      <w:proofErr w:type="gramEnd"/>
      <w:r>
        <w:rPr>
          <w:rStyle w:val="afff3"/>
        </w:rPr>
        <w:t>大道</w:t>
      </w:r>
      <w:r>
        <w:rPr>
          <w:rStyle w:val="afff3"/>
          <w:rFonts w:hint="eastAsia"/>
        </w:rPr>
        <w:t>1528</w:t>
      </w:r>
      <w:r>
        <w:rPr>
          <w:rStyle w:val="afff3"/>
          <w:rFonts w:hint="eastAsia"/>
        </w:rPr>
        <w:t>号陆家</w:t>
      </w:r>
      <w:proofErr w:type="gramStart"/>
      <w:r>
        <w:rPr>
          <w:rStyle w:val="afff3"/>
          <w:rFonts w:hint="eastAsia"/>
        </w:rPr>
        <w:t>嘴基金</w:t>
      </w:r>
      <w:proofErr w:type="gramEnd"/>
      <w:r>
        <w:rPr>
          <w:rStyle w:val="afff3"/>
          <w:rFonts w:hint="eastAsia"/>
        </w:rPr>
        <w:t>大厦</w:t>
      </w:r>
      <w:r>
        <w:rPr>
          <w:rStyle w:val="afff3"/>
          <w:rFonts w:hint="eastAsia"/>
        </w:rPr>
        <w:t>15</w:t>
      </w:r>
      <w:r>
        <w:rPr>
          <w:rStyle w:val="afff3"/>
          <w:rFonts w:hint="eastAsia"/>
        </w:rPr>
        <w:t>楼</w:t>
      </w:r>
    </w:p>
    <w:p w14:paraId="11B3DE07"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法定代表人：严晓珺</w:t>
      </w:r>
    </w:p>
    <w:p w14:paraId="3C597B00"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设立日期：2013年2月25日</w:t>
      </w:r>
    </w:p>
    <w:p w14:paraId="4FD07B47"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批准设立机关及批准设立文号：中国证监会《关于核准设立东海基金管理有限责任公司的批复》（证监许可[2013]179号）</w:t>
      </w:r>
    </w:p>
    <w:p w14:paraId="0C162930"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组织形式：有限责任公司</w:t>
      </w:r>
    </w:p>
    <w:p w14:paraId="4936DA79"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注册资本：16480.3118万元人民币</w:t>
      </w:r>
    </w:p>
    <w:p w14:paraId="58682B19"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存续期限：持续经营</w:t>
      </w:r>
    </w:p>
    <w:p w14:paraId="2F4A4170" w14:textId="77777777" w:rsidR="00F73B72" w:rsidRDefault="00F73B72" w:rsidP="00F73B72">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联系电话：021-60586900</w:t>
      </w:r>
    </w:p>
    <w:p w14:paraId="4EBD39FB" w14:textId="77777777" w:rsidR="00F73B72" w:rsidRDefault="00F73B72" w:rsidP="00F73B72">
      <w:pPr>
        <w:snapToGrid w:val="0"/>
        <w:spacing w:line="360" w:lineRule="auto"/>
        <w:ind w:firstLineChars="200" w:firstLine="420"/>
        <w:rPr>
          <w:rFonts w:ascii="宋体" w:hAnsi="宋体"/>
          <w:bCs/>
          <w:szCs w:val="21"/>
        </w:rPr>
      </w:pPr>
      <w:r>
        <w:rPr>
          <w:rFonts w:ascii="宋体" w:hAnsi="宋体"/>
          <w:bCs/>
          <w:szCs w:val="21"/>
        </w:rPr>
        <w:t>联系人</w:t>
      </w:r>
      <w:r>
        <w:rPr>
          <w:rFonts w:ascii="宋体" w:hAnsi="宋体" w:hint="eastAsia"/>
          <w:bCs/>
          <w:szCs w:val="21"/>
        </w:rPr>
        <w:t>：刘素雅</w:t>
      </w:r>
    </w:p>
    <w:p w14:paraId="4C663949" w14:textId="77777777" w:rsidR="00F73B72" w:rsidRDefault="00F73B72" w:rsidP="00F73B72">
      <w:pPr>
        <w:snapToGrid w:val="0"/>
        <w:spacing w:line="360" w:lineRule="auto"/>
        <w:ind w:firstLineChars="200" w:firstLine="420"/>
        <w:rPr>
          <w:rFonts w:ascii="宋体" w:hAnsi="宋体"/>
          <w:bCs/>
          <w:szCs w:val="21"/>
        </w:rPr>
      </w:pPr>
      <w:r>
        <w:rPr>
          <w:rFonts w:ascii="宋体" w:hAnsi="宋体"/>
          <w:bCs/>
          <w:szCs w:val="21"/>
        </w:rPr>
        <w:t>公司的股权结构</w:t>
      </w:r>
      <w:r>
        <w:rPr>
          <w:rFonts w:ascii="宋体" w:hAnsi="宋体" w:hint="eastAsia"/>
          <w:bCs/>
          <w:szCs w:val="21"/>
        </w:rPr>
        <w:t>：东海证券股份有限公司、深圳鹏博实业集团有限公司和苏州市相城区江南化纤集团有限公司出资分别占注册资本的49.94%、27.31%和22.75%的股权。</w:t>
      </w:r>
    </w:p>
    <w:p w14:paraId="08B07CF7" w14:textId="77777777" w:rsidR="00F73B72" w:rsidRDefault="00F73B72" w:rsidP="00F73B72">
      <w:pPr>
        <w:adjustRightInd w:val="0"/>
        <w:snapToGrid w:val="0"/>
        <w:spacing w:line="360" w:lineRule="auto"/>
        <w:ind w:firstLineChars="200" w:firstLine="420"/>
        <w:rPr>
          <w:rFonts w:ascii="宋体" w:hAnsi="宋体"/>
        </w:rPr>
      </w:pPr>
    </w:p>
    <w:p w14:paraId="75B6C23B" w14:textId="77777777" w:rsidR="00F73B72" w:rsidRDefault="00F73B72" w:rsidP="00F73B72">
      <w:pPr>
        <w:adjustRightInd w:val="0"/>
        <w:snapToGrid w:val="0"/>
        <w:spacing w:line="360" w:lineRule="auto"/>
        <w:rPr>
          <w:rFonts w:ascii="宋体" w:hAnsi="宋体"/>
          <w:b/>
          <w:bCs/>
        </w:rPr>
      </w:pPr>
      <w:r>
        <w:rPr>
          <w:rFonts w:ascii="宋体" w:hAnsi="宋体" w:hint="eastAsia"/>
          <w:b/>
          <w:bCs/>
        </w:rPr>
        <w:t xml:space="preserve">    二、主要人员情况</w:t>
      </w:r>
    </w:p>
    <w:p w14:paraId="7F463B9A" w14:textId="77777777" w:rsidR="00F73B72" w:rsidRDefault="00F73B72" w:rsidP="00F73B72">
      <w:pPr>
        <w:snapToGrid w:val="0"/>
        <w:spacing w:line="360" w:lineRule="auto"/>
        <w:ind w:firstLineChars="200" w:firstLine="420"/>
        <w:rPr>
          <w:rFonts w:ascii="宋体" w:hAnsi="宋体"/>
          <w:bCs/>
          <w:szCs w:val="21"/>
        </w:rPr>
      </w:pPr>
      <w:bookmarkStart w:id="32" w:name="_Hlk28695619"/>
      <w:r>
        <w:rPr>
          <w:rFonts w:ascii="宋体" w:hAnsi="宋体" w:hint="eastAsia"/>
          <w:bCs/>
          <w:szCs w:val="21"/>
        </w:rPr>
        <w:t>1、董事会成员</w:t>
      </w:r>
    </w:p>
    <w:p w14:paraId="446991FC"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殷建华先生，董事长。曾任航空兵飞行员、中国证监会青岛监管局上市处处长、局党委委员、局长助理、副局长；中国证监会江苏监管局党委委员、纪委书记等职；2020年1月至2020年6月任东海证券总裁；2020年6月至2022年12月任东海证券执行委员会主任（总裁）；2022年8月至今任东海基金管理有限责任公司董事长。</w:t>
      </w:r>
    </w:p>
    <w:p w14:paraId="211240F2"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严晓珺女士，董事，硕士学位。现任东海基金管理有限责任公司总经理，兼任东海瑞京资产管理（上海）有限公司董事长。曾任职于德邦证券股份有限公司，先后担任资产管理部总经理、总裁助理</w:t>
      </w:r>
      <w:proofErr w:type="gramStart"/>
      <w:r>
        <w:rPr>
          <w:rFonts w:ascii="宋体" w:hAnsi="宋体" w:hint="eastAsia"/>
          <w:bCs/>
          <w:szCs w:val="21"/>
        </w:rPr>
        <w:t>兼资产</w:t>
      </w:r>
      <w:proofErr w:type="gramEnd"/>
      <w:r>
        <w:rPr>
          <w:rFonts w:ascii="宋体" w:hAnsi="宋体" w:hint="eastAsia"/>
          <w:bCs/>
          <w:szCs w:val="21"/>
        </w:rPr>
        <w:t>管理部总经理等职。2020年加入东海基金管理有限责任公司。</w:t>
      </w:r>
    </w:p>
    <w:p w14:paraId="545259EE"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杨学林先生，董事，本科学位，现任深圳鹏博实业集团有限公司董事长、总经理，历任深圳天</w:t>
      </w:r>
      <w:proofErr w:type="gramStart"/>
      <w:r>
        <w:rPr>
          <w:rFonts w:ascii="宋体" w:hAnsi="宋体" w:hint="eastAsia"/>
          <w:bCs/>
          <w:szCs w:val="21"/>
        </w:rPr>
        <w:t>潼</w:t>
      </w:r>
      <w:proofErr w:type="gramEnd"/>
      <w:r>
        <w:rPr>
          <w:rFonts w:ascii="宋体" w:hAnsi="宋体" w:hint="eastAsia"/>
          <w:bCs/>
          <w:szCs w:val="21"/>
        </w:rPr>
        <w:t>微电子技术公司工程师、深圳市</w:t>
      </w:r>
      <w:proofErr w:type="gramStart"/>
      <w:r>
        <w:rPr>
          <w:rFonts w:ascii="宋体" w:hAnsi="宋体" w:hint="eastAsia"/>
          <w:bCs/>
          <w:szCs w:val="21"/>
        </w:rPr>
        <w:t>垅运照明</w:t>
      </w:r>
      <w:proofErr w:type="gramEnd"/>
      <w:r>
        <w:rPr>
          <w:rFonts w:ascii="宋体" w:hAnsi="宋体" w:hint="eastAsia"/>
          <w:bCs/>
          <w:szCs w:val="21"/>
        </w:rPr>
        <w:t>电器有限公司总工程师等职。</w:t>
      </w:r>
    </w:p>
    <w:p w14:paraId="7650ED61"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陶华娟女士，董事，</w:t>
      </w:r>
      <w:r>
        <w:rPr>
          <w:rFonts w:ascii="宋体" w:hAnsi="宋体"/>
          <w:bCs/>
          <w:szCs w:val="21"/>
        </w:rPr>
        <w:t xml:space="preserve"> </w:t>
      </w:r>
      <w:r>
        <w:rPr>
          <w:rFonts w:ascii="宋体" w:hAnsi="宋体" w:hint="eastAsia"/>
          <w:bCs/>
          <w:szCs w:val="21"/>
        </w:rPr>
        <w:t>2013年1月至今于苏州市相城区江南化纤集团有限公司先后任财务科长、审计中心主任、财务部部长。历任苏州市江塑编织有限公司出纳、江苏新苏化纤有限公司出纳、财务科长。</w:t>
      </w:r>
    </w:p>
    <w:p w14:paraId="19AF8DFD"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lastRenderedPageBreak/>
        <w:t>孔国俊先生，董事，任东海证券经纪业务总部总经理。曾任上海海洋投资咨询公司投资企划部副经，上海国际医学交流中心亚康健</w:t>
      </w:r>
      <w:proofErr w:type="gramStart"/>
      <w:r>
        <w:rPr>
          <w:rFonts w:ascii="宋体" w:hAnsi="宋体" w:hint="eastAsia"/>
          <w:bCs/>
          <w:szCs w:val="21"/>
        </w:rPr>
        <w:t>康网络</w:t>
      </w:r>
      <w:proofErr w:type="gramEnd"/>
      <w:r>
        <w:rPr>
          <w:rFonts w:ascii="宋体" w:hAnsi="宋体" w:hint="eastAsia"/>
          <w:bCs/>
          <w:szCs w:val="21"/>
        </w:rPr>
        <w:t>部经理，中银国际证券上海营销中心、上海广元西路营业部、上海新华路营业部客户经理、助理总经理，中信证券上海分公司营销管理部总经理、个人客户部总经理，国都证券财富管理总部副总经理等职。</w:t>
      </w:r>
    </w:p>
    <w:p w14:paraId="7EE6DE2D"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李峰</w:t>
      </w:r>
      <w:proofErr w:type="spellStart"/>
      <w:r>
        <w:rPr>
          <w:rFonts w:ascii="宋体" w:hAnsi="宋体" w:hint="eastAsia"/>
          <w:bCs/>
          <w:szCs w:val="21"/>
        </w:rPr>
        <w:t>FengLi</w:t>
      </w:r>
      <w:proofErr w:type="spellEnd"/>
      <w:r>
        <w:rPr>
          <w:rFonts w:ascii="宋体" w:hAnsi="宋体" w:hint="eastAsia"/>
          <w:bCs/>
          <w:szCs w:val="21"/>
        </w:rPr>
        <w:t>先生，独立董事，博士学位，美国国籍。现任上海交通大学上海高级金融学院会计学教授、中国金融研究院副院长、上海高金金融研究院联席院长，上海宏力达信息技术股份有限公司独立董事，上海品渥食品股份有限公司独立董事，上海翱捷科技股份有限公司独立董事；曾任职于美国密歇根大学罗斯商学院，并获得终身教职。</w:t>
      </w:r>
    </w:p>
    <w:p w14:paraId="79E6582F" w14:textId="77777777" w:rsidR="00F73B72" w:rsidRDefault="00F73B72" w:rsidP="00F73B72">
      <w:pPr>
        <w:snapToGrid w:val="0"/>
        <w:spacing w:line="360" w:lineRule="auto"/>
        <w:ind w:firstLineChars="200" w:firstLine="420"/>
        <w:rPr>
          <w:rFonts w:ascii="宋体" w:hAnsi="宋体"/>
          <w:bCs/>
          <w:szCs w:val="21"/>
        </w:rPr>
      </w:pPr>
      <w:proofErr w:type="gramStart"/>
      <w:r>
        <w:rPr>
          <w:rFonts w:ascii="宋体" w:hAnsi="宋体" w:hint="eastAsia"/>
          <w:bCs/>
          <w:szCs w:val="21"/>
        </w:rPr>
        <w:t>许闲先生</w:t>
      </w:r>
      <w:proofErr w:type="gramEnd"/>
      <w:r>
        <w:rPr>
          <w:rFonts w:ascii="宋体" w:hAnsi="宋体" w:hint="eastAsia"/>
          <w:bCs/>
          <w:szCs w:val="21"/>
        </w:rPr>
        <w:t>，独立董事，博士学位，现任复旦大学经济学院教授、复旦大学中国保险与社会安全研究中心主任；历任复旦大学经济学院助理教授、副教授、教授等职。</w:t>
      </w:r>
    </w:p>
    <w:p w14:paraId="14D1FC63"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熊伟先生，独立董事，博士学位，现任武汉大学法学院教授，兼任中国法学会财税法学研究会常务副会长，湖北鼎龙控股股份有限公司独立董事，</w:t>
      </w:r>
      <w:proofErr w:type="gramStart"/>
      <w:r>
        <w:rPr>
          <w:rFonts w:ascii="宋体" w:hAnsi="宋体" w:hint="eastAsia"/>
          <w:bCs/>
          <w:szCs w:val="21"/>
        </w:rPr>
        <w:t>英创力</w:t>
      </w:r>
      <w:proofErr w:type="gramEnd"/>
      <w:r>
        <w:rPr>
          <w:rFonts w:ascii="宋体" w:hAnsi="宋体" w:hint="eastAsia"/>
          <w:bCs/>
          <w:szCs w:val="21"/>
        </w:rPr>
        <w:t>电子科技有限公司独立董事；历任云南大学组织部职员，武汉大学法学院助教、讲师、副教授、教授等职。</w:t>
      </w:r>
    </w:p>
    <w:p w14:paraId="56CC1870"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2、监事会成员</w:t>
      </w:r>
    </w:p>
    <w:p w14:paraId="6ED25C8C"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袁忠先生，监事会主席，硕士，现任东海证券股份有限公司董事会秘书、办公室主任，兼任战略规划部总经理。曾先后担任江苏省启东市国家税务局科员、江苏省常州市国家税务局科员、常州市政府金融工作办公室副处长、常州市地方金融监督管理局处长等职。2020年加入东海证券。</w:t>
      </w:r>
    </w:p>
    <w:p w14:paraId="17355B3A"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汪兴华先生，监事，大专。现任深圳鹏博实业集团有限公司董事、副总裁，曾先后任职于核工业中南地质局、</w:t>
      </w:r>
      <w:proofErr w:type="gramStart"/>
      <w:r>
        <w:rPr>
          <w:rFonts w:ascii="宋体" w:hAnsi="宋体" w:hint="eastAsia"/>
          <w:bCs/>
          <w:szCs w:val="21"/>
        </w:rPr>
        <w:t>深圳融信会计师</w:t>
      </w:r>
      <w:proofErr w:type="gramEnd"/>
      <w:r>
        <w:rPr>
          <w:rFonts w:ascii="宋体" w:hAnsi="宋体" w:hint="eastAsia"/>
          <w:bCs/>
          <w:szCs w:val="21"/>
        </w:rPr>
        <w:t>事务所、成都鹏博士科技股份有限公司等。2005年加入深圳鹏博实业集团有限公司。</w:t>
      </w:r>
    </w:p>
    <w:p w14:paraId="74F976FD"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朱一民先生，职工监事，产业经济学硕士，兼任东海瑞京资产管理（上海）有限公司监事。现任东海基金管理有限责任公司总经理助理兼合</w:t>
      </w:r>
      <w:proofErr w:type="gramStart"/>
      <w:r>
        <w:rPr>
          <w:rFonts w:ascii="宋体" w:hAnsi="宋体" w:hint="eastAsia"/>
          <w:bCs/>
          <w:szCs w:val="21"/>
        </w:rPr>
        <w:t>规</w:t>
      </w:r>
      <w:proofErr w:type="gramEnd"/>
      <w:r>
        <w:rPr>
          <w:rFonts w:ascii="宋体" w:hAnsi="宋体" w:hint="eastAsia"/>
          <w:bCs/>
          <w:szCs w:val="21"/>
        </w:rPr>
        <w:t>法</w:t>
      </w:r>
      <w:proofErr w:type="gramStart"/>
      <w:r>
        <w:rPr>
          <w:rFonts w:ascii="宋体" w:hAnsi="宋体" w:hint="eastAsia"/>
          <w:bCs/>
          <w:szCs w:val="21"/>
        </w:rPr>
        <w:t>务</w:t>
      </w:r>
      <w:proofErr w:type="gramEnd"/>
      <w:r>
        <w:rPr>
          <w:rFonts w:ascii="宋体" w:hAnsi="宋体" w:hint="eastAsia"/>
          <w:bCs/>
          <w:szCs w:val="21"/>
        </w:rPr>
        <w:t>部总经理，曾任职于德邦证券股份有限公司。</w:t>
      </w:r>
    </w:p>
    <w:p w14:paraId="2156CD96"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吴巍瑜先生，职工监事，本科学位，现任东海基金管理有限责任公司综合管理部总经理助理（主持工作）。</w:t>
      </w:r>
    </w:p>
    <w:p w14:paraId="1A19A8C5"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3、公司高级管理人员</w:t>
      </w:r>
    </w:p>
    <w:p w14:paraId="656C46A9"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严晓珺女士，总经理。（简历请参见上述董事会成员介绍）</w:t>
      </w:r>
    </w:p>
    <w:p w14:paraId="4A7BCD57" w14:textId="77777777" w:rsidR="00254031" w:rsidRDefault="00254031" w:rsidP="00254031">
      <w:pPr>
        <w:snapToGrid w:val="0"/>
        <w:spacing w:line="360" w:lineRule="auto"/>
        <w:ind w:firstLineChars="200" w:firstLine="420"/>
        <w:rPr>
          <w:rFonts w:ascii="宋体" w:hAnsi="宋体"/>
          <w:bCs/>
          <w:szCs w:val="21"/>
        </w:rPr>
      </w:pPr>
      <w:r w:rsidRPr="00D2676B">
        <w:rPr>
          <w:rFonts w:ascii="宋体" w:hAnsi="宋体" w:hint="eastAsia"/>
          <w:bCs/>
          <w:szCs w:val="21"/>
        </w:rPr>
        <w:t>牛锐女士，督察长，</w:t>
      </w:r>
      <w:r w:rsidRPr="00D2676B">
        <w:rPr>
          <w:rFonts w:ascii="宋体" w:hAnsi="宋体"/>
          <w:bCs/>
          <w:szCs w:val="21"/>
        </w:rPr>
        <w:t>兼任东海瑞京资产管理（上海）有限公司董事。</w:t>
      </w:r>
      <w:r w:rsidRPr="00D2676B">
        <w:rPr>
          <w:rFonts w:ascii="宋体" w:hAnsi="宋体" w:hint="eastAsia"/>
          <w:bCs/>
          <w:szCs w:val="21"/>
        </w:rPr>
        <w:t>市场监管法</w:t>
      </w:r>
      <w:r w:rsidRPr="00D2676B">
        <w:rPr>
          <w:rFonts w:ascii="宋体" w:hAnsi="宋体"/>
          <w:bCs/>
          <w:szCs w:val="21"/>
        </w:rPr>
        <w:t>博士研究生学历。</w:t>
      </w:r>
      <w:r w:rsidRPr="00D2676B">
        <w:rPr>
          <w:rFonts w:ascii="宋体" w:hAnsi="宋体" w:hint="eastAsia"/>
          <w:bCs/>
          <w:szCs w:val="21"/>
        </w:rPr>
        <w:t>曾任职于安徽法谏律师事务所、申银万国证券股份有限公司总裁办法律部、上海证监局、中国国际金融有限公司合</w:t>
      </w:r>
      <w:proofErr w:type="gramStart"/>
      <w:r w:rsidRPr="00D2676B">
        <w:rPr>
          <w:rFonts w:ascii="宋体" w:hAnsi="宋体" w:hint="eastAsia"/>
          <w:bCs/>
          <w:szCs w:val="21"/>
        </w:rPr>
        <w:t>规</w:t>
      </w:r>
      <w:proofErr w:type="gramEnd"/>
      <w:r w:rsidRPr="00D2676B">
        <w:rPr>
          <w:rFonts w:ascii="宋体" w:hAnsi="宋体" w:hint="eastAsia"/>
          <w:bCs/>
          <w:szCs w:val="21"/>
        </w:rPr>
        <w:t>管理部，</w:t>
      </w:r>
      <w:proofErr w:type="gramStart"/>
      <w:r w:rsidRPr="00D2676B">
        <w:rPr>
          <w:rFonts w:ascii="宋体" w:hAnsi="宋体" w:hint="eastAsia"/>
          <w:bCs/>
          <w:szCs w:val="21"/>
        </w:rPr>
        <w:t>历任国</w:t>
      </w:r>
      <w:proofErr w:type="gramEnd"/>
      <w:r w:rsidRPr="00D2676B">
        <w:rPr>
          <w:rFonts w:ascii="宋体" w:hAnsi="宋体" w:hint="eastAsia"/>
          <w:bCs/>
          <w:szCs w:val="21"/>
        </w:rPr>
        <w:t>泰基金管理有限公司总经理办公室总监助理、申万菱信基金管理有限公司法律合</w:t>
      </w:r>
      <w:proofErr w:type="gramStart"/>
      <w:r w:rsidRPr="00D2676B">
        <w:rPr>
          <w:rFonts w:ascii="宋体" w:hAnsi="宋体" w:hint="eastAsia"/>
          <w:bCs/>
          <w:szCs w:val="21"/>
        </w:rPr>
        <w:t>规</w:t>
      </w:r>
      <w:proofErr w:type="gramEnd"/>
      <w:r w:rsidRPr="00D2676B">
        <w:rPr>
          <w:rFonts w:ascii="宋体" w:hAnsi="宋体" w:hint="eastAsia"/>
          <w:bCs/>
          <w:szCs w:val="21"/>
        </w:rPr>
        <w:t>与审计部总监、中</w:t>
      </w:r>
      <w:proofErr w:type="gramStart"/>
      <w:r w:rsidRPr="00D2676B">
        <w:rPr>
          <w:rFonts w:ascii="宋体" w:hAnsi="宋体" w:hint="eastAsia"/>
          <w:bCs/>
          <w:szCs w:val="21"/>
        </w:rPr>
        <w:t>银基金</w:t>
      </w:r>
      <w:proofErr w:type="gramEnd"/>
      <w:r w:rsidRPr="00D2676B">
        <w:rPr>
          <w:rFonts w:ascii="宋体" w:hAnsi="宋体" w:hint="eastAsia"/>
          <w:bCs/>
          <w:szCs w:val="21"/>
        </w:rPr>
        <w:t>管理有限公司内控与法律合</w:t>
      </w:r>
      <w:proofErr w:type="gramStart"/>
      <w:r w:rsidRPr="00D2676B">
        <w:rPr>
          <w:rFonts w:ascii="宋体" w:hAnsi="宋体" w:hint="eastAsia"/>
          <w:bCs/>
          <w:szCs w:val="21"/>
        </w:rPr>
        <w:t>规</w:t>
      </w:r>
      <w:proofErr w:type="gramEnd"/>
      <w:r w:rsidRPr="00D2676B">
        <w:rPr>
          <w:rFonts w:ascii="宋体" w:hAnsi="宋体" w:hint="eastAsia"/>
          <w:bCs/>
          <w:szCs w:val="21"/>
        </w:rPr>
        <w:t>部总经理、上海富诚海富通资产管理有限公司合</w:t>
      </w:r>
      <w:proofErr w:type="gramStart"/>
      <w:r w:rsidRPr="00D2676B">
        <w:rPr>
          <w:rFonts w:ascii="宋体" w:hAnsi="宋体" w:hint="eastAsia"/>
          <w:bCs/>
          <w:szCs w:val="21"/>
        </w:rPr>
        <w:t>规</w:t>
      </w:r>
      <w:proofErr w:type="gramEnd"/>
      <w:r w:rsidRPr="00D2676B">
        <w:rPr>
          <w:rFonts w:ascii="宋体" w:hAnsi="宋体" w:hint="eastAsia"/>
          <w:bCs/>
          <w:szCs w:val="21"/>
        </w:rPr>
        <w:t>负责人。2</w:t>
      </w:r>
      <w:r w:rsidRPr="00D2676B">
        <w:rPr>
          <w:rFonts w:ascii="宋体" w:hAnsi="宋体"/>
          <w:bCs/>
          <w:szCs w:val="21"/>
        </w:rPr>
        <w:t>022</w:t>
      </w:r>
      <w:r w:rsidRPr="00D2676B">
        <w:rPr>
          <w:rFonts w:ascii="宋体" w:hAnsi="宋体" w:hint="eastAsia"/>
          <w:bCs/>
          <w:szCs w:val="21"/>
        </w:rPr>
        <w:t>年加入东海基金。</w:t>
      </w:r>
    </w:p>
    <w:p w14:paraId="70AEC34F"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周华成先生，副总经理暨首席</w:t>
      </w:r>
      <w:proofErr w:type="gramStart"/>
      <w:r>
        <w:rPr>
          <w:rFonts w:ascii="宋体" w:hAnsi="宋体" w:hint="eastAsia"/>
          <w:bCs/>
          <w:szCs w:val="21"/>
        </w:rPr>
        <w:t>信息官暨财务</w:t>
      </w:r>
      <w:proofErr w:type="gramEnd"/>
      <w:r>
        <w:rPr>
          <w:rFonts w:ascii="宋体" w:hAnsi="宋体" w:hint="eastAsia"/>
          <w:bCs/>
          <w:szCs w:val="21"/>
        </w:rPr>
        <w:t>负责人。计算机应用专业硕士，兼任东海瑞</w:t>
      </w:r>
      <w:r>
        <w:rPr>
          <w:rFonts w:ascii="宋体" w:hAnsi="宋体" w:hint="eastAsia"/>
          <w:bCs/>
          <w:szCs w:val="21"/>
        </w:rPr>
        <w:lastRenderedPageBreak/>
        <w:t>京资产管理（上海）有限公司董事。曾任上海726研究所信息技术部工程师，上海中原电子电子工程公司工程部工程师，新时代证券有限公司副总裁，东海期货有限责任公司常务副总经理，东海证券有限责任公司业务总监、部门总经理等职；2020年加入东海基金，曾任东海基金管理有限责任公司监事会主席。</w:t>
      </w:r>
    </w:p>
    <w:p w14:paraId="7B879805"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戴晓敏女士，副总经理。金融学专业硕士，曾任深圳发展银行上海分行计财、运营部主管，南京银行上海分行金融同业部高级经理，德邦证券资产管理总部机构同业部总经理，资产管理总部副总经理</w:t>
      </w:r>
      <w:proofErr w:type="gramStart"/>
      <w:r>
        <w:rPr>
          <w:rFonts w:ascii="宋体" w:hAnsi="宋体" w:hint="eastAsia"/>
          <w:bCs/>
          <w:szCs w:val="21"/>
        </w:rPr>
        <w:t>兼机构</w:t>
      </w:r>
      <w:proofErr w:type="gramEnd"/>
      <w:r>
        <w:rPr>
          <w:rFonts w:ascii="宋体" w:hAnsi="宋体" w:hint="eastAsia"/>
          <w:bCs/>
          <w:szCs w:val="21"/>
        </w:rPr>
        <w:t>金融部总经理、资产管理总部联席总经理</w:t>
      </w:r>
      <w:proofErr w:type="gramStart"/>
      <w:r>
        <w:rPr>
          <w:rFonts w:ascii="宋体" w:hAnsi="宋体" w:hint="eastAsia"/>
          <w:bCs/>
          <w:szCs w:val="21"/>
        </w:rPr>
        <w:t>兼机构</w:t>
      </w:r>
      <w:proofErr w:type="gramEnd"/>
      <w:r>
        <w:rPr>
          <w:rFonts w:ascii="宋体" w:hAnsi="宋体" w:hint="eastAsia"/>
          <w:bCs/>
          <w:szCs w:val="21"/>
        </w:rPr>
        <w:t>金融部总经理等职。2020年加入东海基金。</w:t>
      </w:r>
    </w:p>
    <w:p w14:paraId="1BDFEE6E"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宗华俊先生，副总经理。学士学位，曾先后任职于南京市公安局、中国证券监督管理委员会江苏监管局。2020年9月加入东海基金。</w:t>
      </w:r>
    </w:p>
    <w:bookmarkEnd w:id="32"/>
    <w:p w14:paraId="78CABA1D" w14:textId="77777777" w:rsidR="00F73B72" w:rsidRDefault="00F73B72" w:rsidP="00F73B72">
      <w:pPr>
        <w:snapToGrid w:val="0"/>
        <w:spacing w:line="360" w:lineRule="auto"/>
        <w:ind w:firstLineChars="200" w:firstLine="420"/>
      </w:pPr>
      <w:r>
        <w:rPr>
          <w:rFonts w:ascii="宋体" w:hAnsi="宋体"/>
          <w:bCs/>
          <w:szCs w:val="21"/>
        </w:rPr>
        <w:t>4</w:t>
      </w:r>
      <w:r>
        <w:rPr>
          <w:rFonts w:ascii="宋体" w:hAnsi="宋体" w:hint="eastAsia"/>
          <w:bCs/>
          <w:szCs w:val="21"/>
        </w:rPr>
        <w:t>、基金经理</w:t>
      </w:r>
    </w:p>
    <w:p w14:paraId="1452E7AB" w14:textId="1502508F" w:rsidR="00F73B72" w:rsidRDefault="00F73B72" w:rsidP="00F73B72">
      <w:pPr>
        <w:snapToGrid w:val="0"/>
        <w:spacing w:line="360" w:lineRule="auto"/>
        <w:ind w:firstLineChars="200" w:firstLine="420"/>
        <w:rPr>
          <w:rFonts w:ascii="宋体" w:hAnsi="宋体"/>
          <w:bCs/>
          <w:szCs w:val="21"/>
        </w:rPr>
      </w:pPr>
      <w:r>
        <w:rPr>
          <w:rFonts w:ascii="宋体" w:hAnsi="宋体"/>
          <w:bCs/>
          <w:szCs w:val="21"/>
        </w:rPr>
        <w:t>邢烨先生，金融硕士，特许金融分析师（CFA）。曾任职于德邦证券股份有限公司资产管理总部，先后担任交易员、投资经理、投资副总监等职务，主要负责固定收益投资、交易等工作，2020年7月加入东海基金管理有限责任公司。2021年3月5日起担任东海</w:t>
      </w:r>
      <w:proofErr w:type="gramStart"/>
      <w:r>
        <w:rPr>
          <w:rFonts w:ascii="宋体" w:hAnsi="宋体"/>
          <w:bCs/>
          <w:szCs w:val="21"/>
        </w:rPr>
        <w:t>祥</w:t>
      </w:r>
      <w:proofErr w:type="gramEnd"/>
      <w:r>
        <w:rPr>
          <w:rFonts w:ascii="宋体" w:hAnsi="宋体"/>
          <w:bCs/>
          <w:szCs w:val="21"/>
        </w:rPr>
        <w:t>泰三年定期开放债券型发起式证券投资基金的基金经理；2021年4月16日起担任东海</w:t>
      </w:r>
      <w:proofErr w:type="gramStart"/>
      <w:r>
        <w:rPr>
          <w:rFonts w:ascii="宋体" w:hAnsi="宋体"/>
          <w:bCs/>
          <w:szCs w:val="21"/>
        </w:rPr>
        <w:t>祥苏短</w:t>
      </w:r>
      <w:proofErr w:type="gramEnd"/>
      <w:r>
        <w:rPr>
          <w:rFonts w:ascii="宋体" w:hAnsi="宋体"/>
          <w:bCs/>
          <w:szCs w:val="21"/>
        </w:rPr>
        <w:t>债债券型证券投资基金的基金经理；2021年6月15日起担任东海</w:t>
      </w:r>
      <w:proofErr w:type="gramStart"/>
      <w:r>
        <w:rPr>
          <w:rFonts w:ascii="宋体" w:hAnsi="宋体"/>
          <w:bCs/>
          <w:szCs w:val="21"/>
        </w:rPr>
        <w:t>祥利纯债</w:t>
      </w:r>
      <w:proofErr w:type="gramEnd"/>
      <w:r>
        <w:rPr>
          <w:rFonts w:ascii="宋体" w:hAnsi="宋体"/>
          <w:bCs/>
          <w:szCs w:val="21"/>
        </w:rPr>
        <w:t>债券型证券投资基金的基金经理；2021年7月19日起担任东海</w:t>
      </w:r>
      <w:proofErr w:type="gramStart"/>
      <w:r>
        <w:rPr>
          <w:rFonts w:ascii="宋体" w:hAnsi="宋体"/>
          <w:bCs/>
          <w:szCs w:val="21"/>
        </w:rPr>
        <w:t>鑫</w:t>
      </w:r>
      <w:proofErr w:type="gramEnd"/>
      <w:r>
        <w:rPr>
          <w:rFonts w:ascii="宋体" w:hAnsi="宋体"/>
          <w:bCs/>
          <w:szCs w:val="21"/>
        </w:rPr>
        <w:t>享66个月定期开放债券型证券投资基金的基金经理；2021年12月13日起担任东海启航6个月持有期混合型证券投资基金的基金经理</w:t>
      </w:r>
      <w:r>
        <w:rPr>
          <w:rFonts w:ascii="宋体" w:hAnsi="宋体" w:hint="eastAsia"/>
          <w:bCs/>
          <w:szCs w:val="21"/>
        </w:rPr>
        <w:t>；2</w:t>
      </w:r>
      <w:r>
        <w:rPr>
          <w:rFonts w:ascii="宋体" w:hAnsi="宋体"/>
          <w:bCs/>
          <w:szCs w:val="21"/>
        </w:rPr>
        <w:t>022</w:t>
      </w:r>
      <w:r>
        <w:rPr>
          <w:rFonts w:ascii="宋体" w:hAnsi="宋体" w:hint="eastAsia"/>
          <w:bCs/>
          <w:szCs w:val="21"/>
        </w:rPr>
        <w:t>年8月1</w:t>
      </w:r>
      <w:r>
        <w:rPr>
          <w:rFonts w:ascii="宋体" w:hAnsi="宋体"/>
          <w:bCs/>
          <w:szCs w:val="21"/>
        </w:rPr>
        <w:t>2</w:t>
      </w:r>
      <w:r>
        <w:rPr>
          <w:rFonts w:ascii="宋体" w:hAnsi="宋体" w:hint="eastAsia"/>
          <w:bCs/>
          <w:szCs w:val="21"/>
        </w:rPr>
        <w:t>日起</w:t>
      </w:r>
      <w:r>
        <w:rPr>
          <w:rFonts w:ascii="宋体" w:hAnsi="宋体"/>
          <w:bCs/>
          <w:szCs w:val="21"/>
        </w:rPr>
        <w:t>担任东海</w:t>
      </w:r>
      <w:proofErr w:type="gramStart"/>
      <w:r>
        <w:rPr>
          <w:rFonts w:ascii="宋体" w:hAnsi="宋体" w:hint="eastAsia"/>
          <w:bCs/>
          <w:szCs w:val="21"/>
        </w:rPr>
        <w:t>鑫</w:t>
      </w:r>
      <w:proofErr w:type="gramEnd"/>
      <w:r>
        <w:rPr>
          <w:rFonts w:ascii="宋体" w:hAnsi="宋体" w:hint="eastAsia"/>
          <w:bCs/>
          <w:szCs w:val="21"/>
        </w:rPr>
        <w:t>宁三个月定期开放债券</w:t>
      </w:r>
      <w:r>
        <w:rPr>
          <w:rFonts w:ascii="宋体" w:hAnsi="宋体"/>
          <w:bCs/>
          <w:szCs w:val="21"/>
        </w:rPr>
        <w:t>型证券投资基金的基金经理</w:t>
      </w:r>
      <w:r w:rsidR="009E670F">
        <w:rPr>
          <w:rFonts w:ascii="宋体" w:hAnsi="宋体" w:hint="eastAsia"/>
          <w:bCs/>
          <w:szCs w:val="21"/>
        </w:rPr>
        <w:t>，</w:t>
      </w:r>
      <w:r w:rsidR="009E670F" w:rsidRPr="009E670F">
        <w:rPr>
          <w:rFonts w:ascii="宋体" w:hAnsi="宋体" w:hint="eastAsia"/>
          <w:bCs/>
          <w:szCs w:val="21"/>
        </w:rPr>
        <w:t>2</w:t>
      </w:r>
      <w:r w:rsidR="009E670F" w:rsidRPr="009E670F">
        <w:rPr>
          <w:rFonts w:ascii="宋体" w:hAnsi="宋体"/>
          <w:bCs/>
          <w:szCs w:val="21"/>
        </w:rPr>
        <w:t>023</w:t>
      </w:r>
      <w:r w:rsidR="009E670F" w:rsidRPr="009E670F">
        <w:rPr>
          <w:rFonts w:ascii="宋体" w:hAnsi="宋体" w:hint="eastAsia"/>
          <w:bCs/>
          <w:szCs w:val="21"/>
        </w:rPr>
        <w:t>年3月1</w:t>
      </w:r>
      <w:r w:rsidR="009E670F" w:rsidRPr="009E670F">
        <w:rPr>
          <w:rFonts w:ascii="宋体" w:hAnsi="宋体"/>
          <w:bCs/>
          <w:szCs w:val="21"/>
        </w:rPr>
        <w:t>7</w:t>
      </w:r>
      <w:r w:rsidR="009E670F" w:rsidRPr="009E670F">
        <w:rPr>
          <w:rFonts w:ascii="宋体" w:hAnsi="宋体" w:hint="eastAsia"/>
          <w:bCs/>
          <w:szCs w:val="21"/>
        </w:rPr>
        <w:t>日起担任东海</w:t>
      </w:r>
      <w:proofErr w:type="gramStart"/>
      <w:r w:rsidR="009E670F" w:rsidRPr="009E670F">
        <w:rPr>
          <w:rFonts w:ascii="宋体" w:hAnsi="宋体" w:hint="eastAsia"/>
          <w:bCs/>
          <w:szCs w:val="21"/>
        </w:rPr>
        <w:t>鑫</w:t>
      </w:r>
      <w:proofErr w:type="gramEnd"/>
      <w:r w:rsidR="009E670F" w:rsidRPr="009E670F">
        <w:rPr>
          <w:rFonts w:ascii="宋体" w:hAnsi="宋体" w:hint="eastAsia"/>
          <w:bCs/>
          <w:szCs w:val="21"/>
        </w:rPr>
        <w:t>乐一年定期开放债券型发起式证券投资基金的基金经理</w:t>
      </w:r>
      <w:r>
        <w:rPr>
          <w:rFonts w:ascii="宋体" w:hAnsi="宋体"/>
          <w:bCs/>
          <w:szCs w:val="21"/>
        </w:rPr>
        <w:t>。</w:t>
      </w:r>
    </w:p>
    <w:p w14:paraId="4B8E4BC9" w14:textId="139B3732" w:rsidR="00F73B72" w:rsidRDefault="00F73B72" w:rsidP="00F73B72">
      <w:pPr>
        <w:snapToGrid w:val="0"/>
        <w:spacing w:line="360" w:lineRule="auto"/>
        <w:ind w:firstLineChars="200" w:firstLine="420"/>
        <w:rPr>
          <w:rFonts w:ascii="宋体" w:hAnsi="宋体"/>
          <w:bCs/>
          <w:szCs w:val="21"/>
        </w:rPr>
      </w:pPr>
      <w:r>
        <w:rPr>
          <w:rFonts w:ascii="宋体" w:hAnsi="宋体"/>
          <w:bCs/>
          <w:szCs w:val="21"/>
        </w:rPr>
        <w:t>张浩硕先生，金融工程硕士，特许金融分析师（CFA）。曾任职于上海新世纪资信评估投资服务有限公司，担任信用分析师职位。2018年12月加入东海基金，先后担任固定收益部信评研究员、研发策略</w:t>
      </w:r>
      <w:proofErr w:type="gramStart"/>
      <w:r>
        <w:rPr>
          <w:rFonts w:ascii="宋体" w:hAnsi="宋体"/>
          <w:bCs/>
          <w:szCs w:val="21"/>
        </w:rPr>
        <w:t>部固收</w:t>
      </w:r>
      <w:proofErr w:type="gramEnd"/>
      <w:r>
        <w:rPr>
          <w:rFonts w:ascii="宋体" w:hAnsi="宋体"/>
          <w:bCs/>
          <w:szCs w:val="21"/>
        </w:rPr>
        <w:t>研究员等职位。2022年3月9日起担任东海</w:t>
      </w:r>
      <w:bookmarkStart w:id="33" w:name="_GoBack"/>
      <w:bookmarkEnd w:id="33"/>
      <w:r>
        <w:rPr>
          <w:rFonts w:ascii="宋体" w:hAnsi="宋体"/>
          <w:bCs/>
          <w:szCs w:val="21"/>
        </w:rPr>
        <w:t>祥瑞债券型证券投资基金和东海</w:t>
      </w:r>
      <w:proofErr w:type="gramStart"/>
      <w:r>
        <w:rPr>
          <w:rFonts w:ascii="宋体" w:hAnsi="宋体"/>
          <w:bCs/>
          <w:szCs w:val="21"/>
        </w:rPr>
        <w:t>祥</w:t>
      </w:r>
      <w:proofErr w:type="gramEnd"/>
      <w:r>
        <w:rPr>
          <w:rFonts w:ascii="宋体" w:hAnsi="宋体"/>
          <w:bCs/>
          <w:szCs w:val="21"/>
        </w:rPr>
        <w:t>泰三年定期开放债券型发起式证券投资基金的基金经理；2022年3月14日起担任东海</w:t>
      </w:r>
      <w:proofErr w:type="gramStart"/>
      <w:r>
        <w:rPr>
          <w:rFonts w:ascii="宋体" w:hAnsi="宋体"/>
          <w:bCs/>
          <w:szCs w:val="21"/>
        </w:rPr>
        <w:t>祥苏短</w:t>
      </w:r>
      <w:proofErr w:type="gramEnd"/>
      <w:r>
        <w:rPr>
          <w:rFonts w:ascii="宋体" w:hAnsi="宋体"/>
          <w:bCs/>
          <w:szCs w:val="21"/>
        </w:rPr>
        <w:t>债债券型证券投资基金和东海</w:t>
      </w:r>
      <w:proofErr w:type="gramStart"/>
      <w:r>
        <w:rPr>
          <w:rFonts w:ascii="宋体" w:hAnsi="宋体"/>
          <w:bCs/>
          <w:szCs w:val="21"/>
        </w:rPr>
        <w:t>鑫</w:t>
      </w:r>
      <w:proofErr w:type="gramEnd"/>
      <w:r>
        <w:rPr>
          <w:rFonts w:ascii="宋体" w:hAnsi="宋体"/>
          <w:bCs/>
          <w:szCs w:val="21"/>
        </w:rPr>
        <w:t>享66个月定期开放债券型证券投资基金的基金经理</w:t>
      </w:r>
      <w:r w:rsidR="009E670F">
        <w:rPr>
          <w:rFonts w:ascii="宋体" w:hAnsi="宋体" w:hint="eastAsia"/>
          <w:bCs/>
          <w:szCs w:val="21"/>
        </w:rPr>
        <w:t>，</w:t>
      </w:r>
      <w:r w:rsidR="009E670F" w:rsidRPr="009E670F">
        <w:rPr>
          <w:rFonts w:ascii="宋体" w:hAnsi="宋体" w:hint="eastAsia"/>
          <w:bCs/>
          <w:szCs w:val="21"/>
        </w:rPr>
        <w:t>2</w:t>
      </w:r>
      <w:r w:rsidR="009E670F" w:rsidRPr="009E670F">
        <w:rPr>
          <w:rFonts w:ascii="宋体" w:hAnsi="宋体"/>
          <w:bCs/>
          <w:szCs w:val="21"/>
        </w:rPr>
        <w:t>023</w:t>
      </w:r>
      <w:r w:rsidR="009E670F" w:rsidRPr="009E670F">
        <w:rPr>
          <w:rFonts w:ascii="宋体" w:hAnsi="宋体" w:hint="eastAsia"/>
          <w:bCs/>
          <w:szCs w:val="21"/>
        </w:rPr>
        <w:t>年3月1</w:t>
      </w:r>
      <w:r w:rsidR="009E670F" w:rsidRPr="009E670F">
        <w:rPr>
          <w:rFonts w:ascii="宋体" w:hAnsi="宋体"/>
          <w:bCs/>
          <w:szCs w:val="21"/>
        </w:rPr>
        <w:t>7</w:t>
      </w:r>
      <w:r w:rsidR="009E670F" w:rsidRPr="009E670F">
        <w:rPr>
          <w:rFonts w:ascii="宋体" w:hAnsi="宋体" w:hint="eastAsia"/>
          <w:bCs/>
          <w:szCs w:val="21"/>
        </w:rPr>
        <w:t>日起担任东海</w:t>
      </w:r>
      <w:proofErr w:type="gramStart"/>
      <w:r w:rsidR="009E670F" w:rsidRPr="009E670F">
        <w:rPr>
          <w:rFonts w:ascii="宋体" w:hAnsi="宋体" w:hint="eastAsia"/>
          <w:bCs/>
          <w:szCs w:val="21"/>
        </w:rPr>
        <w:t>鑫</w:t>
      </w:r>
      <w:proofErr w:type="gramEnd"/>
      <w:r w:rsidR="009E670F" w:rsidRPr="009E670F">
        <w:rPr>
          <w:rFonts w:ascii="宋体" w:hAnsi="宋体" w:hint="eastAsia"/>
          <w:bCs/>
          <w:szCs w:val="21"/>
        </w:rPr>
        <w:t>乐一年定期开放债券型发起式证券投资基金的基金经理</w:t>
      </w:r>
      <w:r>
        <w:rPr>
          <w:rFonts w:ascii="宋体" w:hAnsi="宋体"/>
          <w:bCs/>
          <w:szCs w:val="21"/>
        </w:rPr>
        <w:t>。</w:t>
      </w:r>
    </w:p>
    <w:p w14:paraId="2CFE2E7E" w14:textId="77777777" w:rsidR="00F73B72" w:rsidRDefault="00F73B72" w:rsidP="00F73B72">
      <w:pPr>
        <w:snapToGrid w:val="0"/>
        <w:spacing w:line="360" w:lineRule="auto"/>
        <w:ind w:firstLineChars="200" w:firstLine="420"/>
        <w:rPr>
          <w:rFonts w:ascii="宋体" w:hAnsi="宋体"/>
          <w:bCs/>
          <w:szCs w:val="21"/>
        </w:rPr>
      </w:pPr>
      <w:r>
        <w:rPr>
          <w:rFonts w:ascii="宋体" w:hAnsi="宋体"/>
          <w:bCs/>
          <w:szCs w:val="21"/>
        </w:rPr>
        <w:t>5</w:t>
      </w:r>
      <w:r>
        <w:rPr>
          <w:rFonts w:ascii="宋体" w:hAnsi="宋体" w:hint="eastAsia"/>
          <w:bCs/>
          <w:szCs w:val="21"/>
        </w:rPr>
        <w:t>、投资决策委员会成员</w:t>
      </w:r>
    </w:p>
    <w:p w14:paraId="2E4A74C3"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主任委员：</w:t>
      </w:r>
    </w:p>
    <w:p w14:paraId="796E2046"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严晓珺女士，总经理</w:t>
      </w:r>
    </w:p>
    <w:p w14:paraId="10D9098E"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成员：</w:t>
      </w:r>
    </w:p>
    <w:p w14:paraId="2F57703E"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刘梦忆，固定收益研究部经理。</w:t>
      </w:r>
    </w:p>
    <w:p w14:paraId="4879D377"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邵炜，基金经理。</w:t>
      </w:r>
    </w:p>
    <w:p w14:paraId="04B24703"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张立新，基金经理。</w:t>
      </w:r>
    </w:p>
    <w:p w14:paraId="465AFC35"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lastRenderedPageBreak/>
        <w:t>李珂，基金经理。</w:t>
      </w:r>
    </w:p>
    <w:p w14:paraId="2B8A46FC" w14:textId="77777777" w:rsidR="00F73B72" w:rsidRDefault="00F73B72" w:rsidP="00F73B72">
      <w:pPr>
        <w:snapToGrid w:val="0"/>
        <w:spacing w:line="360" w:lineRule="auto"/>
        <w:ind w:firstLineChars="200" w:firstLine="420"/>
        <w:rPr>
          <w:rFonts w:ascii="宋体" w:hAnsi="宋体"/>
          <w:bCs/>
          <w:szCs w:val="21"/>
        </w:rPr>
      </w:pPr>
      <w:r>
        <w:rPr>
          <w:rFonts w:ascii="宋体" w:hAnsi="宋体" w:hint="eastAsia"/>
          <w:bCs/>
          <w:szCs w:val="21"/>
        </w:rPr>
        <w:t>邢烨，基金经理。</w:t>
      </w:r>
    </w:p>
    <w:p w14:paraId="72D20131" w14:textId="77777777" w:rsidR="00F73B72" w:rsidRDefault="00F73B72" w:rsidP="00F73B72">
      <w:pPr>
        <w:numPr>
          <w:ilvl w:val="0"/>
          <w:numId w:val="30"/>
        </w:numPr>
        <w:snapToGrid w:val="0"/>
        <w:spacing w:line="360" w:lineRule="auto"/>
        <w:ind w:left="425" w:firstLineChars="200" w:firstLine="420"/>
        <w:rPr>
          <w:rFonts w:ascii="宋体" w:hAnsi="宋体"/>
          <w:color w:val="000000"/>
        </w:rPr>
      </w:pPr>
      <w:r>
        <w:rPr>
          <w:rFonts w:ascii="宋体" w:hAnsi="宋体" w:hint="eastAsia"/>
          <w:color w:val="000000"/>
        </w:rPr>
        <w:t>上述人员之间不存在近亲属关系。</w:t>
      </w:r>
    </w:p>
    <w:p w14:paraId="7D84B839" w14:textId="77777777" w:rsidR="00F73B72" w:rsidRDefault="00F73B72" w:rsidP="00F73B72">
      <w:pPr>
        <w:numPr>
          <w:ilvl w:val="255"/>
          <w:numId w:val="0"/>
        </w:numPr>
        <w:snapToGrid w:val="0"/>
        <w:spacing w:line="360" w:lineRule="auto"/>
        <w:rPr>
          <w:rFonts w:ascii="宋体" w:hAnsi="宋体"/>
          <w:color w:val="000000"/>
        </w:rPr>
      </w:pPr>
    </w:p>
    <w:p w14:paraId="679C539F" w14:textId="77777777" w:rsidR="00F73B72" w:rsidRDefault="00F73B72" w:rsidP="00F73B72">
      <w:pPr>
        <w:adjustRightInd w:val="0"/>
        <w:snapToGrid w:val="0"/>
        <w:spacing w:line="360" w:lineRule="auto"/>
        <w:rPr>
          <w:rFonts w:ascii="宋体" w:hAnsi="宋体"/>
          <w:b/>
          <w:bCs/>
          <w:color w:val="000000"/>
        </w:rPr>
      </w:pPr>
      <w:r>
        <w:rPr>
          <w:rFonts w:ascii="宋体" w:hAnsi="宋体" w:hint="eastAsia"/>
          <w:b/>
          <w:bCs/>
          <w:color w:val="000000"/>
        </w:rPr>
        <w:t xml:space="preserve">    三、基金管理人的职责</w:t>
      </w:r>
    </w:p>
    <w:p w14:paraId="7340F0C5" w14:textId="77777777" w:rsidR="00F73B72" w:rsidRDefault="00F73B72" w:rsidP="00F73B72">
      <w:pPr>
        <w:adjustRightInd w:val="0"/>
        <w:snapToGrid w:val="0"/>
        <w:spacing w:line="360" w:lineRule="auto"/>
        <w:ind w:firstLineChars="200" w:firstLine="420"/>
        <w:rPr>
          <w:rFonts w:ascii="宋体" w:hAnsi="宋体"/>
          <w:color w:val="000000"/>
        </w:rPr>
      </w:pPr>
      <w:bookmarkStart w:id="34" w:name="_Hlk97375428"/>
      <w:r>
        <w:rPr>
          <w:rFonts w:ascii="宋体" w:hAnsi="宋体" w:hint="eastAsia"/>
          <w:color w:val="000000"/>
        </w:rPr>
        <w:t>（1）依法募集资金，办理或者委托经中国证监会认定的其他机构代为办理基金份额的发售、申购、赎回和登记事宜；</w:t>
      </w:r>
    </w:p>
    <w:p w14:paraId="1D61B8F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（2）办理基金备案手续；</w:t>
      </w:r>
    </w:p>
    <w:p w14:paraId="4902B2D4"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（3）自基金合同生效之日起，以诚实信用、谨慎勤勉的原则管理和运用基金财产；</w:t>
      </w:r>
    </w:p>
    <w:p w14:paraId="07933E9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（4）配备足够的具有专业资格的人员进行基金投资分析、决策，以专业化的经营方式管理和运作基金财产；</w:t>
      </w:r>
    </w:p>
    <w:p w14:paraId="36D4FCF3"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（5）建立健全内部风险控制、监察与稽核、财务管理及人事管理等制度，保证所管理的基金财产和基金管理人的财产相互独立，对所管理的不同基金分别管理，分别记账，进行证券投资；</w:t>
      </w:r>
    </w:p>
    <w:p w14:paraId="23F8C4C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（6）除依据《基金法》、《基金合同》及其他有关规定外，不得利用基金财产为自己及任何第三人谋取利益，不得委托第三人运作基金财产；</w:t>
      </w:r>
    </w:p>
    <w:p w14:paraId="19A2D41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（7）依法接受基金托管人的监督；</w:t>
      </w:r>
    </w:p>
    <w:p w14:paraId="16AFA4F1"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（8）采取适当合理的措施使计算基金份额认购、申购、赎回和注销价格的方法符合《基金合同》等法律文件的规定，按有关规定计算并公告基金净值信息，确定基金份额申购、赎回的价格；</w:t>
      </w:r>
    </w:p>
    <w:p w14:paraId="6B576D91"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（9）进行基金会计核算并编制基金财务会计报告；</w:t>
      </w:r>
    </w:p>
    <w:p w14:paraId="1413407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（10）编制季度报告、中期报告和年度报告；</w:t>
      </w:r>
    </w:p>
    <w:p w14:paraId="419D31E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（11）严格按照《基金法》、《基金合同》及其他有关规定，履行信息披露及报告义务；</w:t>
      </w:r>
    </w:p>
    <w:p w14:paraId="469063D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（12）保守基金商业秘密，不泄露基金投资计划、投资意向等。除《基金法》、《基金合同》及其他有关规定另有规定外，在基金信息公开披露前应予保密，不向他人泄露</w:t>
      </w:r>
      <w:r>
        <w:rPr>
          <w:rFonts w:ascii="宋体" w:hAnsi="宋体" w:hint="eastAsia"/>
          <w:bCs/>
          <w:color w:val="000000"/>
        </w:rPr>
        <w:t>，向审计、法律等外部专业顾问提供的情况除外</w:t>
      </w:r>
      <w:r>
        <w:rPr>
          <w:rFonts w:ascii="宋体" w:hAnsi="宋体" w:hint="eastAsia"/>
          <w:color w:val="000000"/>
        </w:rPr>
        <w:t>；</w:t>
      </w:r>
    </w:p>
    <w:p w14:paraId="2C53827B"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（13）按《基金合同》的约定确定基金收益分配方案，及时向基金份额持有人分配基金收益；</w:t>
      </w:r>
    </w:p>
    <w:p w14:paraId="1AC16BD2"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（14）按规定受理申购与赎回申请，及时、足额支付赎回款项；</w:t>
      </w:r>
    </w:p>
    <w:p w14:paraId="0952278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（15）依据《基金法》、《基金合同》及其他有关规定召集基金份额持有人大会或配合基金托管人、基金份额持有人依法召集基金份额持有人大会；</w:t>
      </w:r>
    </w:p>
    <w:p w14:paraId="2FC3A13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（16）按规定保存基金财产管理业务活动的会计账册、报表、记录和其他相关资料不低于法律法规规定的最低期限；</w:t>
      </w:r>
    </w:p>
    <w:p w14:paraId="7F0C8AC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（17）确保需要向基金投资者提供的各项文件或资料在规定时间发出，并且保证投资者</w:t>
      </w:r>
      <w:r>
        <w:rPr>
          <w:rFonts w:ascii="宋体" w:hAnsi="宋体" w:hint="eastAsia"/>
          <w:color w:val="000000"/>
        </w:rPr>
        <w:lastRenderedPageBreak/>
        <w:t>能够按照《基金合同》规定的时间和方式，随时查阅到与基金有关的公开资料，并在支付合理成本的条件下得到有关资料的复印件；</w:t>
      </w:r>
    </w:p>
    <w:p w14:paraId="1F34DF4B"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（18）组织并参加基金财产清算小组，参与基金财产的保管、清理、估价、变现和分配；</w:t>
      </w:r>
    </w:p>
    <w:p w14:paraId="4A67026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（19）面临解散、依法被撤销或者被依法宣告破产时，及时报告中国证监会并通知基金托管人；</w:t>
      </w:r>
    </w:p>
    <w:p w14:paraId="6CD4388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（20）因违反《基金合同》导致基金财产的损失或损害基金份额持有人合法权益时，应当承担赔偿责任，其赔偿责任不因其退任而免除；</w:t>
      </w:r>
    </w:p>
    <w:p w14:paraId="248990B3"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（21）监督基金托管人按法律法规和《基金合同》规定履行自己的义务，基金托管人违反《基金合同》造成基金财产损失时，基金管理人应为基金份额持有人利益向基金托管人追偿；</w:t>
      </w:r>
    </w:p>
    <w:p w14:paraId="4C80EE0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（22）当基金管理人将其义务委托第三方处理时，应当对第三方处理有关基</w:t>
      </w:r>
      <w:r>
        <w:rPr>
          <w:rFonts w:ascii="宋体" w:hAnsi="宋体"/>
          <w:color w:val="000000"/>
        </w:rPr>
        <w:t>金事务的行为承担责任；</w:t>
      </w:r>
    </w:p>
    <w:p w14:paraId="09387BE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（23）以基金管理人名义，代表基金份额持有人利益行使诉讼权利或实施其他法律行为；</w:t>
      </w:r>
    </w:p>
    <w:p w14:paraId="56F716D3"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（24）基金管理人在募集期间未能达到基金的备案条件，《基金合同》不能生效，基金管理人承担全部募集费用，将已募集资金并加计银行同期活期存款利息在基金募集期结束后</w:t>
      </w:r>
      <w:r>
        <w:rPr>
          <w:rFonts w:ascii="宋体" w:hAnsi="宋体"/>
          <w:color w:val="000000"/>
        </w:rPr>
        <w:t>30</w:t>
      </w:r>
      <w:r>
        <w:rPr>
          <w:rFonts w:ascii="宋体" w:hAnsi="宋体" w:hint="eastAsia"/>
          <w:color w:val="000000"/>
        </w:rPr>
        <w:t>日内退还基金认购人；</w:t>
      </w:r>
    </w:p>
    <w:p w14:paraId="603393C9"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（25）执行生效的基金份额持有人大会的决议；</w:t>
      </w:r>
    </w:p>
    <w:p w14:paraId="35B97EE1"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（26）建立并保存基金份额持有人名册；</w:t>
      </w:r>
    </w:p>
    <w:p w14:paraId="2845570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（27）法律法规及中国证监会规定的和《基金合同》约定的其他义务。</w:t>
      </w:r>
    </w:p>
    <w:p w14:paraId="07297B59" w14:textId="77777777" w:rsidR="00F73B72" w:rsidRDefault="00F73B72" w:rsidP="00F73B72">
      <w:pPr>
        <w:adjustRightInd w:val="0"/>
        <w:snapToGrid w:val="0"/>
        <w:spacing w:line="360" w:lineRule="auto"/>
        <w:ind w:firstLineChars="200" w:firstLine="420"/>
        <w:rPr>
          <w:rFonts w:ascii="宋体" w:hAnsi="宋体"/>
          <w:color w:val="000000"/>
        </w:rPr>
      </w:pPr>
      <w:bookmarkStart w:id="35" w:name="_Hlt88897298"/>
      <w:bookmarkEnd w:id="34"/>
      <w:bookmarkEnd w:id="35"/>
    </w:p>
    <w:p w14:paraId="5D6DAED7" w14:textId="77777777" w:rsidR="00F73B72" w:rsidRDefault="00F73B72" w:rsidP="00F73B72">
      <w:pPr>
        <w:adjustRightInd w:val="0"/>
        <w:snapToGrid w:val="0"/>
        <w:spacing w:line="360" w:lineRule="auto"/>
        <w:rPr>
          <w:rFonts w:ascii="宋体" w:hAnsi="宋体"/>
          <w:b/>
          <w:bCs/>
          <w:color w:val="000000"/>
        </w:rPr>
      </w:pPr>
      <w:r>
        <w:rPr>
          <w:rFonts w:ascii="宋体" w:hAnsi="宋体" w:hint="eastAsia"/>
          <w:b/>
          <w:bCs/>
          <w:color w:val="000000"/>
        </w:rPr>
        <w:t xml:space="preserve">    四、基金管理人的承诺</w:t>
      </w:r>
    </w:p>
    <w:p w14:paraId="53D96012" w14:textId="77777777" w:rsidR="00F73B72" w:rsidRDefault="00F73B72" w:rsidP="00F73B72">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基金管理人承诺严格遵守现行有效的相关法律法规《基金合同》和中国证监会的有关规定，建立健全内部控制制度，采取有效措施，防止违反现行有效的有关法律法规、《基金合同》和中国证监会有关规定的行为发生。</w:t>
      </w:r>
    </w:p>
    <w:p w14:paraId="554776F1" w14:textId="77777777" w:rsidR="00F73B72" w:rsidRDefault="00F73B72" w:rsidP="00F73B72">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、基金管理人承诺严格遵守《基金法》及有关法律法规，建立健全的内部控制制度，采取有效措施，防止下列行为发生：</w:t>
      </w:r>
    </w:p>
    <w:p w14:paraId="31AAE4AD"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）将其固有财产或者他人财产混同于基金财产从事证券投资。</w:t>
      </w:r>
    </w:p>
    <w:p w14:paraId="0413949F"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）不公平地对待其管理的不同基金财产。</w:t>
      </w:r>
    </w:p>
    <w:p w14:paraId="7E394E15"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）利用基金财产或者职务之便为基金份额持有人以外的第三人谋取利益。</w:t>
      </w:r>
    </w:p>
    <w:p w14:paraId="77756FEA"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）向基金份额持有人违规承诺收益或者承担损失。</w:t>
      </w:r>
    </w:p>
    <w:p w14:paraId="6F53609C"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）侵占、挪用基金财产。</w:t>
      </w:r>
    </w:p>
    <w:p w14:paraId="6CAE4392"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（6）泄露因职务便利获取的未公开信息、利用该信息从事或者明示、暗示他人从事相关的交易活动。</w:t>
      </w:r>
    </w:p>
    <w:p w14:paraId="74631E77"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（7）玩忽职守，不按照规定履行职责。</w:t>
      </w:r>
    </w:p>
    <w:p w14:paraId="1994A0C3"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lastRenderedPageBreak/>
        <w:t>（8）法律法规或中国证监会禁止的其他行为。</w:t>
      </w:r>
    </w:p>
    <w:p w14:paraId="75E8111C" w14:textId="77777777" w:rsidR="00F73B72" w:rsidRDefault="00F73B72" w:rsidP="00F73B72">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、本基金管理人承诺加强人员管理，强化职业操守，督促和约束员工遵守国家有关法律、法规及行业规范，诚实信用、勤勉尽责，不从事以下活动：</w:t>
      </w:r>
    </w:p>
    <w:p w14:paraId="62E548D2"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w:t>
      </w:r>
      <w:r>
        <w:rPr>
          <w:rFonts w:ascii="宋体" w:hAnsi="宋体" w:hint="eastAsia"/>
          <w:szCs w:val="21"/>
        </w:rPr>
        <w:t>）越权或违规经营；</w:t>
      </w:r>
    </w:p>
    <w:p w14:paraId="11277EA1"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）违反《基金合同》或《托管协议》；</w:t>
      </w:r>
    </w:p>
    <w:p w14:paraId="33318DE7"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）故意损害基金份额持有人或其他基金相关机构的合法利益；</w:t>
      </w:r>
    </w:p>
    <w:p w14:paraId="0F1D9F3A"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）在向中国证监会报送的资料中弄虚作假；</w:t>
      </w:r>
    </w:p>
    <w:p w14:paraId="7E723268"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）拒绝、干扰、阻挠或严重影响中国证监会依法监管；</w:t>
      </w:r>
    </w:p>
    <w:p w14:paraId="7E04C4C7"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）玩忽职守，不按照规定履行职责；</w:t>
      </w:r>
    </w:p>
    <w:p w14:paraId="17FDF005"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违反现行有效的有关法律、法规、规章、《基金合同》和中国证监会的有关规定，泄漏在任职期间知悉的有关证券、基金的商业秘密和尚未依法公开的基金投资内容、基金投资计划等信息，或利用该信息从事或者明示、暗示他人从事相关的交易活动；</w:t>
      </w:r>
    </w:p>
    <w:p w14:paraId="03EDAEAF"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8</w:t>
      </w:r>
      <w:r>
        <w:rPr>
          <w:rFonts w:ascii="宋体" w:hAnsi="宋体" w:hint="eastAsia"/>
          <w:szCs w:val="21"/>
        </w:rPr>
        <w:t>）违反证券交易场所业务规则，利用对敲、倒仓等手段操纵市场价格，扰乱市场秩序；</w:t>
      </w:r>
    </w:p>
    <w:p w14:paraId="50533242"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9</w:t>
      </w:r>
      <w:r>
        <w:rPr>
          <w:rFonts w:ascii="宋体" w:hAnsi="宋体" w:hint="eastAsia"/>
          <w:szCs w:val="21"/>
        </w:rPr>
        <w:t>）贬损同行，以抬高自己；</w:t>
      </w:r>
    </w:p>
    <w:p w14:paraId="22BC0125"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10</w:t>
      </w:r>
      <w:r>
        <w:rPr>
          <w:rFonts w:ascii="宋体" w:hAnsi="宋体" w:hint="eastAsia"/>
          <w:szCs w:val="21"/>
        </w:rPr>
        <w:t>）以不正当手段谋求业务发展；</w:t>
      </w:r>
    </w:p>
    <w:p w14:paraId="2184A2E3"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11</w:t>
      </w:r>
      <w:r>
        <w:rPr>
          <w:rFonts w:ascii="宋体" w:hAnsi="宋体" w:hint="eastAsia"/>
          <w:szCs w:val="21"/>
        </w:rPr>
        <w:t>）有悖社会公德，损害证券投资基金人员形象；</w:t>
      </w:r>
    </w:p>
    <w:p w14:paraId="7869AC03"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12</w:t>
      </w:r>
      <w:r>
        <w:rPr>
          <w:rFonts w:ascii="宋体" w:hAnsi="宋体" w:hint="eastAsia"/>
          <w:szCs w:val="21"/>
        </w:rPr>
        <w:t>）在公开信息披露和广告中故意含有虚假、误导、欺诈成分；</w:t>
      </w:r>
    </w:p>
    <w:p w14:paraId="08F8EF39"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13</w:t>
      </w:r>
      <w:r>
        <w:rPr>
          <w:rFonts w:ascii="宋体" w:hAnsi="宋体" w:hint="eastAsia"/>
          <w:szCs w:val="21"/>
        </w:rPr>
        <w:t>）其他法律、行政法规以及中国证监会禁止的行为。</w:t>
      </w:r>
    </w:p>
    <w:p w14:paraId="50FE0232" w14:textId="77777777" w:rsidR="00F73B72" w:rsidRDefault="00F73B72" w:rsidP="00F73B72">
      <w:pPr>
        <w:adjustRightInd w:val="0"/>
        <w:snapToGrid w:val="0"/>
        <w:spacing w:line="360" w:lineRule="auto"/>
        <w:ind w:firstLine="420"/>
        <w:rPr>
          <w:rFonts w:ascii="宋体" w:hAnsi="宋体"/>
          <w:szCs w:val="21"/>
        </w:rPr>
      </w:pPr>
      <w:r>
        <w:rPr>
          <w:rFonts w:ascii="宋体" w:hAnsi="宋体" w:hint="eastAsia"/>
          <w:b/>
          <w:bCs/>
          <w:color w:val="000000"/>
        </w:rPr>
        <w:t xml:space="preserve"> </w:t>
      </w:r>
      <w:r>
        <w:rPr>
          <w:rFonts w:ascii="宋体" w:hAnsi="宋体"/>
          <w:szCs w:val="21"/>
        </w:rPr>
        <w:t>4、基金管理人承诺严格遵守基金合同的规定，并承诺建立健全内部控制制度，采取有效措施，防止违反基金合同行为的发生。</w:t>
      </w:r>
    </w:p>
    <w:p w14:paraId="3BA7239D" w14:textId="77777777" w:rsidR="00F73B72" w:rsidRDefault="00F73B72" w:rsidP="00F73B72">
      <w:pPr>
        <w:adjustRightInd w:val="0"/>
        <w:snapToGrid w:val="0"/>
        <w:spacing w:line="360" w:lineRule="auto"/>
        <w:rPr>
          <w:rFonts w:ascii="宋体" w:hAnsi="宋体"/>
          <w:b/>
          <w:bCs/>
          <w:color w:val="000000"/>
        </w:rPr>
      </w:pPr>
      <w:r>
        <w:rPr>
          <w:rFonts w:ascii="宋体" w:hAnsi="宋体"/>
          <w:szCs w:val="21"/>
        </w:rPr>
        <w:t xml:space="preserve">     5、基金管理人承诺不从事其他</w:t>
      </w:r>
      <w:r>
        <w:rPr>
          <w:rFonts w:ascii="宋体" w:hAnsi="宋体" w:hint="eastAsia"/>
          <w:szCs w:val="21"/>
        </w:rPr>
        <w:t>法律</w:t>
      </w:r>
      <w:r>
        <w:rPr>
          <w:rFonts w:ascii="宋体" w:hAnsi="宋体"/>
          <w:szCs w:val="21"/>
        </w:rPr>
        <w:t>法规规定禁止从事的行为。</w:t>
      </w:r>
    </w:p>
    <w:p w14:paraId="160E03A5" w14:textId="77777777" w:rsidR="00F73B72" w:rsidRDefault="00F73B72" w:rsidP="00F73B72">
      <w:pPr>
        <w:adjustRightInd w:val="0"/>
        <w:snapToGrid w:val="0"/>
        <w:spacing w:line="360" w:lineRule="auto"/>
        <w:ind w:firstLineChars="200" w:firstLine="422"/>
        <w:rPr>
          <w:rFonts w:ascii="宋体" w:hAnsi="宋体"/>
          <w:b/>
          <w:bCs/>
          <w:color w:val="000000"/>
        </w:rPr>
      </w:pPr>
    </w:p>
    <w:p w14:paraId="32AEA0F7" w14:textId="77777777" w:rsidR="00F73B72" w:rsidRDefault="00F73B72" w:rsidP="00F73B72">
      <w:pPr>
        <w:adjustRightInd w:val="0"/>
        <w:snapToGrid w:val="0"/>
        <w:spacing w:line="360" w:lineRule="auto"/>
        <w:ind w:firstLineChars="200" w:firstLine="422"/>
        <w:rPr>
          <w:rFonts w:ascii="宋体" w:hAnsi="宋体"/>
          <w:b/>
          <w:bCs/>
          <w:color w:val="000000"/>
        </w:rPr>
      </w:pPr>
      <w:r>
        <w:rPr>
          <w:rFonts w:ascii="宋体" w:hAnsi="宋体" w:hint="eastAsia"/>
          <w:b/>
          <w:bCs/>
          <w:color w:val="000000"/>
        </w:rPr>
        <w:t>五、基金经理承诺</w:t>
      </w:r>
    </w:p>
    <w:p w14:paraId="7061FD44"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（1）依照有关法律、法规和基金合同的规定，本着谨慎的原则为基金份额持有人谋取最大利益；</w:t>
      </w:r>
    </w:p>
    <w:p w14:paraId="7A3E1C3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（2）不利用职务之便为自己及其代理人、受雇人或任何第三人谋取利益；</w:t>
      </w:r>
    </w:p>
    <w:p w14:paraId="3BCDC71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不违反现行有效的有关法律、法规、规章、基金合同和中国证监会的有关规定，泄漏在任职期间知悉的有关证券、基金的商业秘密、尚未依法公开的基金投资内容、基金投资计划等信息，或利用该信息从事或者明示、暗示他人从事相关的交易活动；</w:t>
      </w:r>
    </w:p>
    <w:p w14:paraId="605BBE75"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（4）不从事损害基金财产和基金份额持有人利益的证券交易及其他活动。</w:t>
      </w:r>
    </w:p>
    <w:p w14:paraId="3AA66712" w14:textId="77777777" w:rsidR="00F73B72" w:rsidRDefault="00F73B72" w:rsidP="00F73B72">
      <w:pPr>
        <w:adjustRightInd w:val="0"/>
        <w:snapToGrid w:val="0"/>
        <w:spacing w:line="360" w:lineRule="auto"/>
        <w:ind w:firstLineChars="200" w:firstLine="420"/>
        <w:rPr>
          <w:rFonts w:ascii="宋体" w:hAnsi="宋体"/>
          <w:color w:val="000000"/>
        </w:rPr>
      </w:pPr>
    </w:p>
    <w:p w14:paraId="1CCCEBD7" w14:textId="77777777" w:rsidR="00F73B72" w:rsidRDefault="00F73B72" w:rsidP="00F73B72">
      <w:pPr>
        <w:adjustRightInd w:val="0"/>
        <w:snapToGrid w:val="0"/>
        <w:spacing w:line="360" w:lineRule="auto"/>
        <w:ind w:firstLineChars="200" w:firstLine="422"/>
        <w:rPr>
          <w:rFonts w:ascii="宋体" w:hAnsi="宋体"/>
          <w:b/>
          <w:bCs/>
          <w:color w:val="000000"/>
        </w:rPr>
      </w:pPr>
      <w:r>
        <w:rPr>
          <w:rFonts w:ascii="宋体" w:hAnsi="宋体" w:hint="eastAsia"/>
          <w:b/>
          <w:bCs/>
          <w:color w:val="000000"/>
        </w:rPr>
        <w:t>六、基金管理人的内部控制制度</w:t>
      </w:r>
    </w:p>
    <w:p w14:paraId="7C8069D3"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1、内部控制的目标</w:t>
      </w:r>
    </w:p>
    <w:p w14:paraId="6568B1DF"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lastRenderedPageBreak/>
        <w:t>（1）保证公司经营运作严格遵守国家有关法律法规和行业监管规则，自觉形成守法经营、规范运作的经营思想和经营理念。</w:t>
      </w:r>
    </w:p>
    <w:p w14:paraId="7C7C995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（2）防范和化解经营风险，提高经营管理效益，确保经营业务的稳健运行和受托资产的安全完整，实现公司的持续、稳定、健康发展。</w:t>
      </w:r>
    </w:p>
    <w:p w14:paraId="53139CEF"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（3）确保基金、公司财务和其它信息真实、准确、完整、及时。</w:t>
      </w:r>
    </w:p>
    <w:p w14:paraId="32786041"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2、内部控制的原则</w:t>
      </w:r>
    </w:p>
    <w:p w14:paraId="4F1178E0"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（1）健全性原则：内部控制涉及公司的各项业务、各个部门以及各级人员，并涵盖到决策、执行、监督、反馈等各个环节。</w:t>
      </w:r>
    </w:p>
    <w:p w14:paraId="6C570C5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（2）有效性原则：通过科学的内控手段和方法，建立合理的内控程序，维护内控制度的有效执行。</w:t>
      </w:r>
    </w:p>
    <w:p w14:paraId="6281D6DF"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（3）独立性原则：公司各机构、部门和岗位职责应当保持相对独立，公司基金财产、自有资产、其他资产的运作应当分离。</w:t>
      </w:r>
    </w:p>
    <w:p w14:paraId="2A1D24B8"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（4）相互制约原则：公司内部部门和岗位的设置应当权责分明、相互制衡。</w:t>
      </w:r>
    </w:p>
    <w:p w14:paraId="3B167C6A"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（5）成本效益原则：公司运用科学化的经营管理方法降低运作成本，提高经济效益，以合理的控制成本达到最佳的内部控制效果。</w:t>
      </w:r>
    </w:p>
    <w:p w14:paraId="68AFB29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3、内部控制的主要内容</w:t>
      </w:r>
    </w:p>
    <w:p w14:paraId="37643582"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（1）控制环境</w:t>
      </w:r>
    </w:p>
    <w:p w14:paraId="1A659B7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董事会负责控制公司整体运营风险。董事会通过控制公司治理结构风险、制定基本管理制度、完善有关议事规则及充分发挥独立董事的作用达到对风险的最终控制。</w:t>
      </w:r>
    </w:p>
    <w:p w14:paraId="4709D289"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公司管理层在总经理领导下，认真执行董事会确定的内部控制战略，为有效贯彻公司董事会制定的经营方针及发展战略，设立了投资决策委员会和风险控制委员会，就基金投资和风险控制等发表专业意见及建议。</w:t>
      </w:r>
    </w:p>
    <w:p w14:paraId="5EDEB559"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设立督察长，负责对公司和基金的内部控制和管理情况进行全面监督，对公司保持各项管理制度的合法性、合理性、有效性和完备程度进行检查并督促改进，发现重大问题及时向公司董事会、中国证监会和/或相关派出机构报告。</w:t>
      </w:r>
    </w:p>
    <w:p w14:paraId="20E00089"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 xml:space="preserve">风险管理部是公司负责风险管理的职能部门。风险管理部负责公司风险控制体系建设， 识别业务所涉及的各类风险，对公司投资组合的投资交易进行风险监控，指导、检查公司公 </w:t>
      </w:r>
      <w:proofErr w:type="gramStart"/>
      <w:r>
        <w:rPr>
          <w:rFonts w:ascii="宋体" w:hAnsi="宋体" w:hint="eastAsia"/>
          <w:color w:val="000000"/>
        </w:rPr>
        <w:t>平交易</w:t>
      </w:r>
      <w:proofErr w:type="gramEnd"/>
      <w:r>
        <w:rPr>
          <w:rFonts w:ascii="宋体" w:hAnsi="宋体" w:hint="eastAsia"/>
          <w:color w:val="000000"/>
        </w:rPr>
        <w:t>的执行情况，实施异常交易监控，对各投资组合进行压力测试，并配合做好流动性管理。</w:t>
      </w:r>
    </w:p>
    <w:p w14:paraId="4C813C25"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合</w:t>
      </w:r>
      <w:proofErr w:type="gramStart"/>
      <w:r>
        <w:rPr>
          <w:rFonts w:ascii="宋体" w:hAnsi="宋体" w:hint="eastAsia"/>
          <w:color w:val="000000"/>
        </w:rPr>
        <w:t>规</w:t>
      </w:r>
      <w:proofErr w:type="gramEnd"/>
      <w:r>
        <w:rPr>
          <w:rFonts w:ascii="宋体" w:hAnsi="宋体" w:hint="eastAsia"/>
          <w:color w:val="000000"/>
        </w:rPr>
        <w:t>法</w:t>
      </w:r>
      <w:proofErr w:type="gramStart"/>
      <w:r>
        <w:rPr>
          <w:rFonts w:ascii="宋体" w:hAnsi="宋体" w:hint="eastAsia"/>
          <w:color w:val="000000"/>
        </w:rPr>
        <w:t>务</w:t>
      </w:r>
      <w:proofErr w:type="gramEnd"/>
      <w:r>
        <w:rPr>
          <w:rFonts w:ascii="宋体" w:hAnsi="宋体" w:hint="eastAsia"/>
          <w:color w:val="000000"/>
        </w:rPr>
        <w:t>部是公司对各项经营管理活动进行合</w:t>
      </w:r>
      <w:proofErr w:type="gramStart"/>
      <w:r>
        <w:rPr>
          <w:rFonts w:ascii="宋体" w:hAnsi="宋体" w:hint="eastAsia"/>
          <w:color w:val="000000"/>
        </w:rPr>
        <w:t>规</w:t>
      </w:r>
      <w:proofErr w:type="gramEnd"/>
      <w:r>
        <w:rPr>
          <w:rFonts w:ascii="宋体" w:hAnsi="宋体" w:hint="eastAsia"/>
          <w:color w:val="000000"/>
        </w:rPr>
        <w:t>管理和监察稽核的职能部门。合</w:t>
      </w:r>
      <w:proofErr w:type="gramStart"/>
      <w:r>
        <w:rPr>
          <w:rFonts w:ascii="宋体" w:hAnsi="宋体" w:hint="eastAsia"/>
          <w:color w:val="000000"/>
        </w:rPr>
        <w:t>规</w:t>
      </w:r>
      <w:proofErr w:type="gramEnd"/>
      <w:r>
        <w:rPr>
          <w:rFonts w:ascii="宋体" w:hAnsi="宋体" w:hint="eastAsia"/>
          <w:color w:val="000000"/>
        </w:rPr>
        <w:t>法</w:t>
      </w:r>
      <w:proofErr w:type="gramStart"/>
      <w:r>
        <w:rPr>
          <w:rFonts w:ascii="宋体" w:hAnsi="宋体" w:hint="eastAsia"/>
          <w:color w:val="000000"/>
        </w:rPr>
        <w:t>务</w:t>
      </w:r>
      <w:proofErr w:type="gramEnd"/>
      <w:r>
        <w:rPr>
          <w:rFonts w:ascii="宋体" w:hAnsi="宋体" w:hint="eastAsia"/>
          <w:color w:val="000000"/>
        </w:rPr>
        <w:t>部对公司各职能部门在业务运作中的遵规守法情况进行监督和检查，保证公司为控制风险所制定的各项管理制度切实得到贯彻和执行。</w:t>
      </w:r>
    </w:p>
    <w:p w14:paraId="14ED3002"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公司各职能部门是公司内部控制措施的具体执行单位，在法律、法规和公司各项基本管理制度的基础上，依据具体情况制定部门的管理办法、操作流程及风险控制方法，并督导部</w:t>
      </w:r>
      <w:r>
        <w:rPr>
          <w:rFonts w:ascii="宋体" w:hAnsi="宋体" w:hint="eastAsia"/>
          <w:color w:val="000000"/>
        </w:rPr>
        <w:lastRenderedPageBreak/>
        <w:t>门员工严格执行。</w:t>
      </w:r>
    </w:p>
    <w:p w14:paraId="6A578B06"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（2）风险评估</w:t>
      </w:r>
    </w:p>
    <w:p w14:paraId="3B7D5E44"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风险管理人员定期评估公司及基金的风险状况，包括所有能对经营目标、投资目标产生负面影响的内部和外部因素，对公司总体经营目标产生影响的可能性及影响程度，并将评估报告报公司管理层和风险控制委员会。</w:t>
      </w:r>
    </w:p>
    <w:p w14:paraId="53961E8F"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（3）操作控制</w:t>
      </w:r>
    </w:p>
    <w:p w14:paraId="411F3535"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内部组织结构的设计方面，体现部门之间职责有分工，但部门之间又相互合作与制衡的原则。基金投资管理、基金运作、市场等业务部门有明确的授权分工，各部门的操作相互独立，并且有独立的报告系统。各业务部门之间相互核对、相互牵制。</w:t>
      </w:r>
    </w:p>
    <w:p w14:paraId="65490340"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各业务部门内部工作岗位分工合理、职责明确，形成相互监督、相互制约的关系，以减少舞弊或差错发生的风险。</w:t>
      </w:r>
    </w:p>
    <w:p w14:paraId="3D0E95A7"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在明确的岗位职责的基础上，设置科学、合理、标准化的业务操作流程；同时，规定完备的处理手续，保存完整的业务记录，制定严格的检查、复核标准。</w:t>
      </w:r>
    </w:p>
    <w:p w14:paraId="738FF49E"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（4）信息与沟通</w:t>
      </w:r>
    </w:p>
    <w:p w14:paraId="74A84024"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公司建立了内部办公自动化信息系统与业务汇报体系，通过建立有效的信息交流渠道，保证公司员工及各级管理人员可以充分了解与其职责相关的信息，保证信息及时送达适当的人员进行处理。</w:t>
      </w:r>
    </w:p>
    <w:p w14:paraId="75B190E6"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（5）监督与内部稽核</w:t>
      </w:r>
    </w:p>
    <w:p w14:paraId="3810B015"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公司设立了独立于各业务部门的合</w:t>
      </w:r>
      <w:proofErr w:type="gramStart"/>
      <w:r>
        <w:rPr>
          <w:rFonts w:ascii="宋体" w:hAnsi="宋体" w:hint="eastAsia"/>
          <w:color w:val="000000"/>
        </w:rPr>
        <w:t>规</w:t>
      </w:r>
      <w:proofErr w:type="gramEnd"/>
      <w:r>
        <w:rPr>
          <w:rFonts w:ascii="宋体" w:hAnsi="宋体" w:hint="eastAsia"/>
          <w:color w:val="000000"/>
        </w:rPr>
        <w:t>法</w:t>
      </w:r>
      <w:proofErr w:type="gramStart"/>
      <w:r>
        <w:rPr>
          <w:rFonts w:ascii="宋体" w:hAnsi="宋体" w:hint="eastAsia"/>
          <w:color w:val="000000"/>
        </w:rPr>
        <w:t>务</w:t>
      </w:r>
      <w:proofErr w:type="gramEnd"/>
      <w:r>
        <w:rPr>
          <w:rFonts w:ascii="宋体" w:hAnsi="宋体" w:hint="eastAsia"/>
          <w:color w:val="000000"/>
        </w:rPr>
        <w:t>部，履行内部稽核职能，检查、评价公司内部控制制度合理性、完备性和有效性，监督公司内部控制制度的执行情况，揭示公司内部管理及基金运作中的风险，及时提出改进意见，促进公司内部管理制度有效地执行。内部稽核人员具有相对的独立性，监察稽核报告提交全体董事审阅并存档备查。</w:t>
      </w:r>
    </w:p>
    <w:p w14:paraId="733FD816"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4、基金管理人关于内部控制制度的声明</w:t>
      </w:r>
    </w:p>
    <w:p w14:paraId="7351C89D"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（1）基金管理人确知建立、实施和维持内部控制制度是基金管理人董事会及管理层的责任；</w:t>
      </w:r>
    </w:p>
    <w:p w14:paraId="238A1C5C"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（2）上述关于内部控制制度的披露真实、准确；</w:t>
      </w:r>
    </w:p>
    <w:p w14:paraId="046EA980" w14:textId="77777777" w:rsidR="00F73B72" w:rsidRDefault="00F73B72" w:rsidP="00F73B72">
      <w:pPr>
        <w:adjustRightInd w:val="0"/>
        <w:snapToGrid w:val="0"/>
        <w:spacing w:line="360" w:lineRule="auto"/>
        <w:ind w:firstLineChars="200" w:firstLine="420"/>
        <w:rPr>
          <w:rFonts w:ascii="宋体" w:hAnsi="宋体"/>
          <w:color w:val="000000"/>
        </w:rPr>
      </w:pPr>
      <w:r>
        <w:rPr>
          <w:rFonts w:ascii="宋体" w:hAnsi="宋体" w:hint="eastAsia"/>
          <w:color w:val="000000"/>
        </w:rPr>
        <w:t>（3）基金管理人承诺将根据市场环境的变化及基金管理人的发展不断完善内部控制制度。</w:t>
      </w:r>
    </w:p>
    <w:p w14:paraId="1EFC3645" w14:textId="24695032" w:rsidR="00706097" w:rsidRPr="00F73B72" w:rsidRDefault="00706097" w:rsidP="00F73B72">
      <w:pPr>
        <w:adjustRightInd w:val="0"/>
        <w:snapToGrid w:val="0"/>
        <w:spacing w:line="360" w:lineRule="auto"/>
        <w:rPr>
          <w:rFonts w:ascii="宋体" w:hAnsi="宋体"/>
        </w:rPr>
      </w:pPr>
    </w:p>
    <w:p w14:paraId="4CBAC3E4" w14:textId="77777777" w:rsidR="00706097" w:rsidRDefault="00DA6858">
      <w:pPr>
        <w:snapToGrid w:val="0"/>
        <w:spacing w:line="360" w:lineRule="auto"/>
        <w:ind w:firstLine="450"/>
        <w:rPr>
          <w:rFonts w:ascii="宋体" w:hAnsi="宋体"/>
        </w:rPr>
      </w:pPr>
      <w:r>
        <w:rPr>
          <w:rFonts w:ascii="宋体" w:hAnsi="宋体"/>
        </w:rPr>
        <w:br w:type="page"/>
      </w:r>
    </w:p>
    <w:p w14:paraId="33F9DEF7"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6" w:name="_Toc362533453"/>
      <w:bookmarkStart w:id="37" w:name="_Toc360794098"/>
      <w:bookmarkStart w:id="38" w:name="_Toc360794514"/>
      <w:bookmarkStart w:id="39" w:name="_Toc362455181"/>
      <w:bookmarkStart w:id="40" w:name="_Toc360794406"/>
      <w:bookmarkStart w:id="41" w:name="_Toc360793848"/>
      <w:bookmarkStart w:id="42" w:name="_Toc76483006"/>
      <w:bookmarkStart w:id="43" w:name="_Toc360793496"/>
      <w:r>
        <w:rPr>
          <w:rFonts w:ascii="宋体" w:eastAsia="宋体" w:hAnsi="宋体" w:hint="eastAsia"/>
        </w:rPr>
        <w:lastRenderedPageBreak/>
        <w:t>基金托管人</w:t>
      </w:r>
      <w:bookmarkEnd w:id="36"/>
      <w:bookmarkEnd w:id="37"/>
      <w:bookmarkEnd w:id="38"/>
      <w:bookmarkEnd w:id="39"/>
      <w:bookmarkEnd w:id="40"/>
      <w:bookmarkEnd w:id="41"/>
      <w:bookmarkEnd w:id="42"/>
      <w:bookmarkEnd w:id="43"/>
    </w:p>
    <w:p w14:paraId="13EB7B1B" w14:textId="77777777" w:rsidR="00706097" w:rsidRDefault="00706097">
      <w:pPr>
        <w:tabs>
          <w:tab w:val="left" w:pos="2160"/>
        </w:tabs>
        <w:adjustRightInd w:val="0"/>
        <w:snapToGrid w:val="0"/>
        <w:spacing w:line="360" w:lineRule="auto"/>
        <w:ind w:firstLineChars="200" w:firstLine="420"/>
        <w:rPr>
          <w:rFonts w:ascii="宋体" w:hAnsi="宋体"/>
        </w:rPr>
      </w:pPr>
    </w:p>
    <w:p w14:paraId="3710E62B" w14:textId="77777777" w:rsidR="00E90926" w:rsidRPr="00E90926" w:rsidRDefault="00E90926" w:rsidP="00E90926">
      <w:pPr>
        <w:pStyle w:val="af5"/>
        <w:spacing w:line="360" w:lineRule="auto"/>
        <w:ind w:firstLineChars="200" w:firstLine="422"/>
        <w:outlineLvl w:val="0"/>
        <w:rPr>
          <w:rFonts w:hAnsi="宋体" w:cs="方正黑体_GBK" w:hint="default"/>
          <w:b/>
          <w:bCs/>
          <w:szCs w:val="21"/>
        </w:rPr>
      </w:pPr>
      <w:r w:rsidRPr="00E90926">
        <w:rPr>
          <w:rFonts w:hAnsi="宋体" w:cs="方正黑体_GBK"/>
          <w:b/>
          <w:bCs/>
          <w:szCs w:val="21"/>
        </w:rPr>
        <w:t>一、基金托管人基本情况</w:t>
      </w:r>
    </w:p>
    <w:p w14:paraId="1E5AC096"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t>（一）基金托管人概况</w:t>
      </w:r>
    </w:p>
    <w:p w14:paraId="1A9B007A" w14:textId="77777777" w:rsidR="00E90926" w:rsidRPr="00E90926" w:rsidRDefault="00E90926" w:rsidP="00E90926">
      <w:pPr>
        <w:pStyle w:val="23"/>
        <w:ind w:firstLine="420"/>
        <w:rPr>
          <w:rFonts w:ascii="宋体" w:eastAsia="宋体" w:hAnsi="宋体" w:cs="方正仿宋_GBK"/>
          <w:sz w:val="21"/>
          <w:szCs w:val="21"/>
        </w:rPr>
      </w:pPr>
      <w:r w:rsidRPr="00E90926">
        <w:rPr>
          <w:rFonts w:ascii="宋体" w:eastAsia="宋体" w:hAnsi="宋体" w:cs="方正仿宋_GBK" w:hint="eastAsia"/>
          <w:sz w:val="21"/>
          <w:szCs w:val="21"/>
        </w:rPr>
        <w:t>公司法定中文名称：交通银行股份有限公司（简称：交通银行）</w:t>
      </w:r>
    </w:p>
    <w:p w14:paraId="476E14D2"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 xml:space="preserve">公司法定英文名称：BANK OF COMMUNICATIONS </w:t>
      </w:r>
      <w:proofErr w:type="gramStart"/>
      <w:r w:rsidRPr="00E90926">
        <w:rPr>
          <w:rFonts w:ascii="宋体" w:hAnsi="宋体" w:cs="方正仿宋_GBK" w:hint="eastAsia"/>
          <w:color w:val="000000"/>
          <w:szCs w:val="21"/>
        </w:rPr>
        <w:t>CO.,LTD</w:t>
      </w:r>
      <w:proofErr w:type="gramEnd"/>
    </w:p>
    <w:p w14:paraId="6521A796"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法定代表人：任德奇</w:t>
      </w:r>
    </w:p>
    <w:p w14:paraId="57270387"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 xml:space="preserve">住    所：中国（上海）自由贸易试验区银城中路188号 </w:t>
      </w:r>
    </w:p>
    <w:p w14:paraId="0EBF2A50"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办公地址：上海市</w:t>
      </w:r>
      <w:proofErr w:type="gramStart"/>
      <w:r w:rsidRPr="00E90926">
        <w:rPr>
          <w:rFonts w:ascii="宋体" w:hAnsi="宋体" w:cs="方正仿宋_GBK" w:hint="eastAsia"/>
          <w:color w:val="000000"/>
          <w:szCs w:val="21"/>
        </w:rPr>
        <w:t>长宁区仙霞</w:t>
      </w:r>
      <w:proofErr w:type="gramEnd"/>
      <w:r w:rsidRPr="00E90926">
        <w:rPr>
          <w:rFonts w:ascii="宋体" w:hAnsi="宋体" w:cs="方正仿宋_GBK" w:hint="eastAsia"/>
          <w:color w:val="000000"/>
          <w:szCs w:val="21"/>
        </w:rPr>
        <w:t>路18号</w:t>
      </w:r>
    </w:p>
    <w:p w14:paraId="56C6F17D"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邮政编码：200336</w:t>
      </w:r>
    </w:p>
    <w:p w14:paraId="292B2B9E"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color w:val="000000"/>
          <w:szCs w:val="21"/>
        </w:rPr>
      </w:pPr>
      <w:r w:rsidRPr="00E90926">
        <w:rPr>
          <w:rFonts w:ascii="宋体" w:hAnsi="宋体" w:cs="方正仿宋_GBK" w:hint="eastAsia"/>
          <w:color w:val="000000"/>
          <w:szCs w:val="21"/>
        </w:rPr>
        <w:t>注册时间：1987年3月30日</w:t>
      </w:r>
    </w:p>
    <w:p w14:paraId="783512C1"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hint="eastAsia"/>
          <w:szCs w:val="21"/>
        </w:rPr>
        <w:t>注册资本：</w:t>
      </w:r>
      <w:r w:rsidRPr="00E90926">
        <w:rPr>
          <w:rFonts w:ascii="宋体" w:hAnsi="宋体" w:cs="方正仿宋_GBK" w:hint="eastAsia"/>
          <w:color w:val="000000"/>
          <w:szCs w:val="21"/>
        </w:rPr>
        <w:t>742.63</w:t>
      </w:r>
      <w:r w:rsidRPr="00E90926">
        <w:rPr>
          <w:rFonts w:ascii="宋体" w:hAnsi="宋体" w:cs="方正仿宋_GBK" w:hint="eastAsia"/>
          <w:szCs w:val="21"/>
        </w:rPr>
        <w:t>亿元</w:t>
      </w:r>
    </w:p>
    <w:p w14:paraId="271D6575"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hint="eastAsia"/>
          <w:szCs w:val="21"/>
        </w:rPr>
        <w:t>基金托管资格批文及文号：中国证监会</w:t>
      </w:r>
      <w:proofErr w:type="gramStart"/>
      <w:r w:rsidRPr="00E90926">
        <w:rPr>
          <w:rFonts w:ascii="宋体" w:hAnsi="宋体" w:cs="方正仿宋_GBK" w:hint="eastAsia"/>
          <w:szCs w:val="21"/>
        </w:rPr>
        <w:t>证监基字</w:t>
      </w:r>
      <w:proofErr w:type="gramEnd"/>
      <w:r w:rsidRPr="00E90926">
        <w:rPr>
          <w:rFonts w:ascii="宋体" w:hAnsi="宋体" w:cs="方正仿宋_GBK" w:hint="eastAsia"/>
          <w:szCs w:val="21"/>
        </w:rPr>
        <w:t>[1998]25号</w:t>
      </w:r>
    </w:p>
    <w:p w14:paraId="2DCA1059"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hint="eastAsia"/>
          <w:szCs w:val="21"/>
        </w:rPr>
        <w:t>联系人：陆志俊</w:t>
      </w:r>
    </w:p>
    <w:p w14:paraId="3BE1EDD0"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hint="eastAsia"/>
          <w:szCs w:val="21"/>
        </w:rPr>
        <w:t>电  话：95559</w:t>
      </w:r>
    </w:p>
    <w:p w14:paraId="656D2957" w14:textId="77777777" w:rsidR="00E90926" w:rsidRPr="00E90926" w:rsidRDefault="00174906" w:rsidP="00E90926">
      <w:pPr>
        <w:autoSpaceDE w:val="0"/>
        <w:autoSpaceDN w:val="0"/>
        <w:adjustRightInd w:val="0"/>
        <w:spacing w:line="360" w:lineRule="auto"/>
        <w:ind w:firstLineChars="200" w:firstLine="420"/>
        <w:rPr>
          <w:rFonts w:ascii="宋体" w:hAnsi="宋体" w:cs="方正仿宋_GBK"/>
          <w:szCs w:val="21"/>
        </w:rPr>
      </w:pPr>
      <w:hyperlink r:id="rId12" w:tgtFrame="_blank" w:history="1">
        <w:r w:rsidR="00E90926" w:rsidRPr="00E90926">
          <w:rPr>
            <w:rFonts w:ascii="宋体" w:hAnsi="宋体" w:cs="方正仿宋_GBK" w:hint="eastAsia"/>
            <w:szCs w:val="21"/>
          </w:rPr>
          <w:t>交通银行</w:t>
        </w:r>
      </w:hyperlink>
      <w:r w:rsidR="00E90926" w:rsidRPr="00E90926">
        <w:rPr>
          <w:rFonts w:ascii="宋体" w:hAnsi="宋体" w:cs="方正仿宋_GBK" w:hint="eastAsia"/>
          <w:szCs w:val="21"/>
        </w:rPr>
        <w:t>始建于1908年，是中国历史最悠久的银行之一，也是近代中国的发钞行之一。1987年重新组建后的交通银行正式对外营业，成为中国第一家全国性的国有股份制商业银行，总部设在上海。2005年6月交通银行在香港联合交易所挂牌上市，2007年5月在上海证券交易所挂牌上市。交通银行连续1</w:t>
      </w:r>
      <w:r w:rsidR="00E90926" w:rsidRPr="00E90926">
        <w:rPr>
          <w:rFonts w:ascii="宋体" w:hAnsi="宋体" w:cs="方正仿宋_GBK"/>
          <w:szCs w:val="21"/>
        </w:rPr>
        <w:t>3</w:t>
      </w:r>
      <w:r w:rsidR="00E90926" w:rsidRPr="00E90926">
        <w:rPr>
          <w:rFonts w:ascii="宋体" w:hAnsi="宋体" w:cs="方正仿宋_GBK" w:hint="eastAsia"/>
          <w:szCs w:val="21"/>
        </w:rPr>
        <w:t>年跻身《财富》(FORTUNE)世界500强，营业收入排名第</w:t>
      </w:r>
      <w:r w:rsidR="00E90926" w:rsidRPr="00E90926">
        <w:rPr>
          <w:rFonts w:ascii="宋体" w:hAnsi="宋体" w:cs="方正仿宋_GBK"/>
          <w:szCs w:val="21"/>
        </w:rPr>
        <w:t>137</w:t>
      </w:r>
      <w:r w:rsidR="00E90926" w:rsidRPr="00E90926">
        <w:rPr>
          <w:rFonts w:ascii="宋体" w:hAnsi="宋体" w:cs="方正仿宋_GBK" w:hint="eastAsia"/>
          <w:szCs w:val="21"/>
        </w:rPr>
        <w:t>位；列《银行家》(The Banker)杂志全球千家大银行一级资本排名第11位。</w:t>
      </w:r>
    </w:p>
    <w:p w14:paraId="27D7D436"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hint="eastAsia"/>
          <w:szCs w:val="21"/>
        </w:rPr>
        <w:t>截至202</w:t>
      </w:r>
      <w:r w:rsidRPr="00E90926">
        <w:rPr>
          <w:rFonts w:ascii="宋体" w:hAnsi="宋体" w:cs="方正仿宋_GBK"/>
          <w:szCs w:val="21"/>
        </w:rPr>
        <w:t>2</w:t>
      </w:r>
      <w:r w:rsidRPr="00E90926">
        <w:rPr>
          <w:rFonts w:ascii="宋体" w:hAnsi="宋体" w:cs="方正仿宋_GBK" w:hint="eastAsia"/>
          <w:szCs w:val="21"/>
        </w:rPr>
        <w:t>年9月</w:t>
      </w:r>
      <w:r w:rsidRPr="00E90926">
        <w:rPr>
          <w:rFonts w:ascii="宋体" w:hAnsi="宋体" w:cs="方正仿宋_GBK"/>
          <w:szCs w:val="21"/>
        </w:rPr>
        <w:t>30</w:t>
      </w:r>
      <w:r w:rsidRPr="00E90926">
        <w:rPr>
          <w:rFonts w:ascii="宋体" w:hAnsi="宋体" w:cs="方正仿宋_GBK" w:hint="eastAsia"/>
          <w:szCs w:val="21"/>
        </w:rPr>
        <w:t>日，交通银行资产总额为人民币</w:t>
      </w:r>
      <w:r w:rsidRPr="00E90926">
        <w:rPr>
          <w:rFonts w:ascii="宋体" w:hAnsi="宋体" w:cs="方正仿宋_GBK"/>
          <w:szCs w:val="21"/>
        </w:rPr>
        <w:t>12</w:t>
      </w:r>
      <w:r w:rsidRPr="00E90926">
        <w:rPr>
          <w:rFonts w:ascii="宋体" w:hAnsi="宋体" w:cs="方正仿宋_GBK" w:hint="eastAsia"/>
          <w:szCs w:val="21"/>
        </w:rPr>
        <w:t>.69</w:t>
      </w:r>
      <w:proofErr w:type="gramStart"/>
      <w:r w:rsidRPr="00E90926">
        <w:rPr>
          <w:rFonts w:ascii="宋体" w:hAnsi="宋体" w:cs="方正仿宋_GBK" w:hint="eastAsia"/>
          <w:szCs w:val="21"/>
        </w:rPr>
        <w:t>万亿</w:t>
      </w:r>
      <w:proofErr w:type="gramEnd"/>
      <w:r w:rsidRPr="00E90926">
        <w:rPr>
          <w:rFonts w:ascii="宋体" w:hAnsi="宋体" w:cs="方正仿宋_GBK" w:hint="eastAsia"/>
          <w:szCs w:val="21"/>
        </w:rPr>
        <w:t>元。202</w:t>
      </w:r>
      <w:r w:rsidRPr="00E90926">
        <w:rPr>
          <w:rFonts w:ascii="宋体" w:hAnsi="宋体" w:cs="方正仿宋_GBK"/>
          <w:szCs w:val="21"/>
        </w:rPr>
        <w:t>2</w:t>
      </w:r>
      <w:r w:rsidRPr="00E90926">
        <w:rPr>
          <w:rFonts w:ascii="宋体" w:hAnsi="宋体" w:cs="方正仿宋_GBK" w:hint="eastAsia"/>
          <w:szCs w:val="21"/>
        </w:rPr>
        <w:t>年三季度，交通银行实现净利润(归属于母公司股东)人民币680.2亿元。</w:t>
      </w:r>
    </w:p>
    <w:p w14:paraId="1DF4DAC9" w14:textId="77777777" w:rsidR="00E90926" w:rsidRPr="00E90926" w:rsidRDefault="00E90926" w:rsidP="00E90926">
      <w:pPr>
        <w:autoSpaceDE w:val="0"/>
        <w:autoSpaceDN w:val="0"/>
        <w:adjustRightInd w:val="0"/>
        <w:spacing w:line="360" w:lineRule="auto"/>
        <w:ind w:firstLineChars="200" w:firstLine="420"/>
        <w:rPr>
          <w:rFonts w:ascii="宋体" w:hAnsi="宋体" w:cs="方正仿宋_GBK"/>
          <w:szCs w:val="21"/>
        </w:rPr>
      </w:pPr>
      <w:r w:rsidRPr="00E90926">
        <w:rPr>
          <w:rFonts w:ascii="宋体" w:hAnsi="宋体" w:cs="方正仿宋_GBK"/>
          <w:szCs w:val="21"/>
        </w:rPr>
        <w:t>交通银行总行</w:t>
      </w:r>
      <w:proofErr w:type="gramStart"/>
      <w:r w:rsidRPr="00E90926">
        <w:rPr>
          <w:rFonts w:ascii="宋体" w:hAnsi="宋体" w:cs="方正仿宋_GBK"/>
          <w:szCs w:val="21"/>
        </w:rPr>
        <w:t>设</w:t>
      </w:r>
      <w:r w:rsidRPr="00E90926">
        <w:rPr>
          <w:rFonts w:ascii="宋体" w:hAnsi="宋体" w:cs="方正仿宋_GBK" w:hint="eastAsia"/>
          <w:szCs w:val="21"/>
        </w:rPr>
        <w:t>资产</w:t>
      </w:r>
      <w:proofErr w:type="gramEnd"/>
      <w:r w:rsidRPr="00E90926">
        <w:rPr>
          <w:rFonts w:ascii="宋体" w:hAnsi="宋体" w:cs="方正仿宋_GBK" w:hint="eastAsia"/>
          <w:szCs w:val="21"/>
        </w:rPr>
        <w:t>托管部（下文简称“托管部”）。现有员工具有多年基金、证券和银行的从业经验，</w:t>
      </w:r>
      <w:r w:rsidRPr="00E90926">
        <w:rPr>
          <w:rFonts w:ascii="宋体" w:hAnsi="宋体" w:cs="方正仿宋_GBK"/>
          <w:szCs w:val="21"/>
        </w:rPr>
        <w:t>具备基金从</w:t>
      </w:r>
      <w:r w:rsidRPr="00E90926">
        <w:rPr>
          <w:rFonts w:ascii="宋体" w:hAnsi="宋体" w:cs="方正仿宋_GBK" w:hint="eastAsia"/>
          <w:szCs w:val="21"/>
        </w:rPr>
        <w:t>业</w:t>
      </w:r>
      <w:r w:rsidRPr="00E90926">
        <w:rPr>
          <w:rFonts w:ascii="宋体" w:hAnsi="宋体" w:cs="方正仿宋_GBK"/>
          <w:szCs w:val="21"/>
        </w:rPr>
        <w:t>资格</w:t>
      </w:r>
      <w:r w:rsidRPr="00E90926">
        <w:rPr>
          <w:rFonts w:ascii="宋体" w:hAnsi="宋体" w:cs="方正仿宋_GBK" w:hint="eastAsia"/>
          <w:szCs w:val="21"/>
        </w:rPr>
        <w:t>，以及</w:t>
      </w:r>
      <w:r w:rsidRPr="00E90926">
        <w:rPr>
          <w:rFonts w:ascii="宋体" w:hAnsi="宋体" w:cs="方正仿宋_GBK"/>
          <w:szCs w:val="21"/>
        </w:rPr>
        <w:t>经济师、会计师、工程师和律师</w:t>
      </w:r>
      <w:r w:rsidRPr="00E90926">
        <w:rPr>
          <w:rFonts w:ascii="宋体" w:hAnsi="宋体" w:cs="方正仿宋_GBK" w:hint="eastAsia"/>
          <w:szCs w:val="21"/>
        </w:rPr>
        <w:t>等</w:t>
      </w:r>
      <w:r w:rsidRPr="00E90926">
        <w:rPr>
          <w:rFonts w:ascii="宋体" w:hAnsi="宋体" w:cs="方正仿宋_GBK"/>
          <w:szCs w:val="21"/>
        </w:rPr>
        <w:t>中高级</w:t>
      </w:r>
      <w:r w:rsidRPr="00E90926">
        <w:rPr>
          <w:rFonts w:ascii="宋体" w:hAnsi="宋体" w:cs="方正仿宋_GBK" w:hint="eastAsia"/>
          <w:szCs w:val="21"/>
        </w:rPr>
        <w:t>专业技术</w:t>
      </w:r>
      <w:r w:rsidRPr="00E90926">
        <w:rPr>
          <w:rFonts w:ascii="宋体" w:hAnsi="宋体" w:cs="方正仿宋_GBK"/>
          <w:szCs w:val="21"/>
        </w:rPr>
        <w:t>职称，员工的学历层次较高，专业分布合理，职业技能优良，职业道德素质过硬，是一支诚实勤勉、积极进取、开拓创新、奋发向上的</w:t>
      </w:r>
      <w:r w:rsidRPr="00E90926">
        <w:rPr>
          <w:rFonts w:ascii="宋体" w:hAnsi="宋体" w:cs="方正仿宋_GBK" w:hint="eastAsia"/>
          <w:szCs w:val="21"/>
        </w:rPr>
        <w:t>资产</w:t>
      </w:r>
      <w:r w:rsidRPr="00E90926">
        <w:rPr>
          <w:rFonts w:ascii="宋体" w:hAnsi="宋体" w:cs="方正仿宋_GBK"/>
          <w:szCs w:val="21"/>
        </w:rPr>
        <w:t>托管从业人员队伍。</w:t>
      </w:r>
    </w:p>
    <w:p w14:paraId="557A0937"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t>（二）主要人员情况</w:t>
      </w:r>
    </w:p>
    <w:p w14:paraId="45C065A9"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任德奇先生，董事长、执行董事，高级经济师。</w:t>
      </w:r>
    </w:p>
    <w:p w14:paraId="0108E6B4"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任先生2020年1月起任本行董事长（其中：2019年12月至2020年7月代为履行行长职责）、</w:t>
      </w:r>
      <w:r w:rsidRPr="00E90926">
        <w:rPr>
          <w:rFonts w:ascii="宋体" w:hAnsi="宋体" w:cs="方正仿宋_GBK" w:hint="eastAsia"/>
          <w:szCs w:val="21"/>
        </w:rPr>
        <w:lastRenderedPageBreak/>
        <w:t>执行董事，2018年8月至2020年1月任</w:t>
      </w:r>
      <w:proofErr w:type="gramStart"/>
      <w:r w:rsidRPr="00E90926">
        <w:rPr>
          <w:rFonts w:ascii="宋体" w:hAnsi="宋体" w:cs="方正仿宋_GBK" w:hint="eastAsia"/>
          <w:szCs w:val="21"/>
        </w:rPr>
        <w:t>本行副</w:t>
      </w:r>
      <w:proofErr w:type="gramEnd"/>
      <w:r w:rsidRPr="00E90926">
        <w:rPr>
          <w:rFonts w:ascii="宋体" w:hAnsi="宋体" w:cs="方正仿宋_GBK" w:hint="eastAsia"/>
          <w:szCs w:val="21"/>
        </w:rPr>
        <w:t>董事长（其中：2019年4月至2020年1月代为履行董事长职责）、执行董事，2018年8月至2019年12月任本行行长；2016年12月至2018年6月任中国银行执行董事、副行长，其中：2015年10月至2018年6月兼任中银香港（控股）有限公司非执行董事，2016年9月至2018年6月兼任中国银行上海人民币交易业务总部总裁；2014年7月至2016年11月任中国银行副行长，2003年8月至2014年5月历任中国建设银行信贷</w:t>
      </w:r>
      <w:proofErr w:type="gramStart"/>
      <w:r w:rsidRPr="00E90926">
        <w:rPr>
          <w:rFonts w:ascii="宋体" w:hAnsi="宋体" w:cs="方正仿宋_GBK" w:hint="eastAsia"/>
          <w:szCs w:val="21"/>
        </w:rPr>
        <w:t>审批部</w:t>
      </w:r>
      <w:proofErr w:type="gramEnd"/>
      <w:r w:rsidRPr="00E90926">
        <w:rPr>
          <w:rFonts w:ascii="宋体" w:hAnsi="宋体" w:cs="方正仿宋_GBK" w:hint="eastAsia"/>
          <w:szCs w:val="21"/>
        </w:rPr>
        <w:t>副总经理、风险监控部总经理、授信管理部总经理、湖北省分行行长、风险管理部总经理；1988年7月至2003年8月先后在中国建设银行岳阳长岭支行、岳阳市中心支行、岳阳分行，中国建设银行信贷管理委员会办公室、信贷风险管理部工作。任先生1988年于清华大学获工学硕士学位。</w:t>
      </w:r>
    </w:p>
    <w:p w14:paraId="4D8746DB"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刘珺先生，副董事长、执行董事、行长，高级经济师。</w:t>
      </w:r>
    </w:p>
    <w:p w14:paraId="59B613A1"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刘先生2020年7月起担任本行行长；2016年11月至2020 年5月任中国投资有限责任公司副总经理；2014年12月至2016年11月任中国光大集团股份公司副总经理；2014年6月至2014年12月任中国光大（集团）总公司执行董事、副总经理（2014年6月至2016年11月期间先后兼任光大永明人寿保险有限公司董事长、中国光大集团有限公司副董事长、中国光大控股有限公司执行董事兼副主席、中国光大国际有限公司执行董事兼副主席、中国光大实业（集团）有限责任公司董事长）；2009年9月至2014年6月历任中国光大银行行长助理、副行长（期间先后兼任中国光大银行上海分行行长、中国光大银行金融市场中心总经理）；1993年7月至2009年9月先后在中国光大银行国际业务部、香港代表处、资金部、投行业务部工作。刘先生2003年于香港理工大学获工商管理博士学位。</w:t>
      </w:r>
    </w:p>
    <w:p w14:paraId="391BE526"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徐铁先生，资产托管部总经理。</w:t>
      </w:r>
    </w:p>
    <w:p w14:paraId="7E32BE97" w14:textId="77777777" w:rsidR="00E90926" w:rsidRPr="00E90926" w:rsidRDefault="00E90926" w:rsidP="00E90926">
      <w:pPr>
        <w:autoSpaceDE w:val="0"/>
        <w:autoSpaceDN w:val="0"/>
        <w:adjustRightInd w:val="0"/>
        <w:spacing w:line="360" w:lineRule="auto"/>
        <w:ind w:firstLine="555"/>
        <w:rPr>
          <w:rFonts w:ascii="宋体" w:hAnsi="宋体" w:cs="方正仿宋_GBK"/>
          <w:szCs w:val="21"/>
        </w:rPr>
      </w:pPr>
      <w:r w:rsidRPr="00E90926">
        <w:rPr>
          <w:rFonts w:ascii="宋体" w:hAnsi="宋体" w:cs="方正仿宋_GBK" w:hint="eastAsia"/>
          <w:szCs w:val="21"/>
        </w:rPr>
        <w:t>徐铁先生2022年4月起任本行资产托管部总经理；2014年12月至2022年4月任本行资产托管部副总经理；2000年7月至2014年12月，历任交通银行资产托管</w:t>
      </w:r>
      <w:proofErr w:type="gramStart"/>
      <w:r w:rsidRPr="00E90926">
        <w:rPr>
          <w:rFonts w:ascii="宋体" w:hAnsi="宋体" w:cs="方正仿宋_GBK" w:hint="eastAsia"/>
          <w:szCs w:val="21"/>
        </w:rPr>
        <w:t>部客户</w:t>
      </w:r>
      <w:proofErr w:type="gramEnd"/>
      <w:r w:rsidRPr="00E90926">
        <w:rPr>
          <w:rFonts w:ascii="宋体" w:hAnsi="宋体" w:cs="方正仿宋_GBK" w:hint="eastAsia"/>
          <w:szCs w:val="21"/>
        </w:rPr>
        <w:t>经理、保险与养老金部副高级经理、高级经理、保险保障业务部高级经理、总经理助理。徐先生2000年于复旦大学获经济学硕士学位。</w:t>
      </w:r>
    </w:p>
    <w:p w14:paraId="7BC6943F"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t>（三）基金托管业务经营情况</w:t>
      </w:r>
    </w:p>
    <w:p w14:paraId="0C323C96" w14:textId="77777777" w:rsidR="00E90926" w:rsidRPr="00E90926" w:rsidRDefault="00E90926" w:rsidP="00E90926">
      <w:pPr>
        <w:widowControl/>
        <w:ind w:firstLineChars="200" w:firstLine="420"/>
        <w:rPr>
          <w:rFonts w:ascii="宋体" w:hAnsi="宋体" w:cs="方正仿宋_GBK"/>
          <w:color w:val="000000"/>
          <w:kern w:val="0"/>
          <w:szCs w:val="21"/>
          <w:lang w:val="zh-CN"/>
        </w:rPr>
      </w:pPr>
      <w:r w:rsidRPr="00E90926">
        <w:rPr>
          <w:rFonts w:ascii="宋体" w:hAnsi="宋体" w:cs="方正仿宋_GBK"/>
          <w:szCs w:val="21"/>
        </w:rPr>
        <w:t>截至</w:t>
      </w:r>
      <w:r w:rsidRPr="00E90926">
        <w:rPr>
          <w:rFonts w:ascii="宋体" w:hAnsi="宋体" w:cs="方正仿宋_GBK" w:hint="eastAsia"/>
          <w:szCs w:val="21"/>
        </w:rPr>
        <w:t>202</w:t>
      </w:r>
      <w:r w:rsidRPr="00E90926">
        <w:rPr>
          <w:rFonts w:ascii="宋体" w:hAnsi="宋体" w:cs="方正仿宋_GBK"/>
          <w:szCs w:val="21"/>
        </w:rPr>
        <w:t>2年</w:t>
      </w:r>
      <w:r w:rsidRPr="00E90926">
        <w:rPr>
          <w:rFonts w:ascii="宋体" w:hAnsi="宋体" w:cs="方正仿宋_GBK" w:hint="eastAsia"/>
          <w:szCs w:val="21"/>
        </w:rPr>
        <w:t>9月</w:t>
      </w:r>
      <w:r w:rsidRPr="00E90926">
        <w:rPr>
          <w:rFonts w:ascii="宋体" w:hAnsi="宋体" w:cs="方正仿宋_GBK"/>
          <w:szCs w:val="21"/>
        </w:rPr>
        <w:t>30</w:t>
      </w:r>
      <w:r w:rsidRPr="00E90926">
        <w:rPr>
          <w:rFonts w:ascii="宋体" w:hAnsi="宋体" w:cs="方正仿宋_GBK" w:hint="eastAsia"/>
          <w:szCs w:val="21"/>
        </w:rPr>
        <w:t>日</w:t>
      </w:r>
      <w:r w:rsidRPr="00E90926">
        <w:rPr>
          <w:rFonts w:ascii="宋体" w:hAnsi="宋体" w:cs="方正仿宋_GBK"/>
          <w:szCs w:val="21"/>
        </w:rPr>
        <w:t>，交通银行共托管证券投资基金694只。</w:t>
      </w:r>
      <w:r w:rsidRPr="00E90926">
        <w:rPr>
          <w:rFonts w:ascii="宋体" w:hAnsi="宋体" w:cs="方正仿宋_GBK" w:hint="eastAsia"/>
          <w:szCs w:val="21"/>
        </w:rPr>
        <w:t>此外，</w:t>
      </w:r>
      <w:r w:rsidRPr="00E90926">
        <w:rPr>
          <w:rFonts w:ascii="宋体" w:hAnsi="宋体" w:cs="方正仿宋_GBK"/>
          <w:szCs w:val="21"/>
        </w:rPr>
        <w:t>交通银行</w:t>
      </w:r>
      <w:r w:rsidRPr="00E90926">
        <w:rPr>
          <w:rFonts w:ascii="宋体" w:hAnsi="宋体" w:cs="方正仿宋_GBK" w:hint="eastAsia"/>
          <w:szCs w:val="21"/>
        </w:rPr>
        <w:t>还托管了基金公司特定客户资产管理计划、证券公司客户资产管理计划、银行理财产品、信托计划、私募投资基金、保险资金、全国社保基金、养老保障管理基金、企业年金基金、职业年金基金、期货公司资产管理计划、QFI</w:t>
      </w:r>
      <w:r w:rsidRPr="00E90926">
        <w:rPr>
          <w:rFonts w:ascii="宋体" w:hAnsi="宋体" w:cs="方正仿宋_GBK"/>
          <w:szCs w:val="21"/>
        </w:rPr>
        <w:t>I</w:t>
      </w:r>
      <w:r w:rsidRPr="00E90926">
        <w:rPr>
          <w:rFonts w:ascii="宋体" w:hAnsi="宋体" w:cs="方正仿宋_GBK" w:hint="eastAsia"/>
          <w:szCs w:val="21"/>
        </w:rPr>
        <w:t>证券投资资产、R</w:t>
      </w:r>
      <w:r w:rsidRPr="00E90926">
        <w:rPr>
          <w:rFonts w:ascii="宋体" w:hAnsi="宋体" w:cs="方正仿宋_GBK"/>
          <w:szCs w:val="21"/>
        </w:rPr>
        <w:t>QFII</w:t>
      </w:r>
      <w:r w:rsidRPr="00E90926">
        <w:rPr>
          <w:rFonts w:ascii="宋体" w:hAnsi="宋体" w:cs="方正仿宋_GBK" w:hint="eastAsia"/>
          <w:szCs w:val="21"/>
        </w:rPr>
        <w:t>证券投资资产、QDII证券投资资产、RQDII证券投资资产、QDIE资金、QDLP资金和QFLP资金等产品。</w:t>
      </w:r>
    </w:p>
    <w:p w14:paraId="7E4AF82B" w14:textId="77777777" w:rsidR="00E90926" w:rsidRPr="00E90926" w:rsidRDefault="00E90926" w:rsidP="00E90926">
      <w:pPr>
        <w:pStyle w:val="af5"/>
        <w:spacing w:line="360" w:lineRule="auto"/>
        <w:ind w:firstLineChars="200" w:firstLine="422"/>
        <w:outlineLvl w:val="0"/>
        <w:rPr>
          <w:rFonts w:hAnsi="宋体" w:cs="方正黑体_GBK" w:hint="default"/>
          <w:b/>
          <w:bCs/>
          <w:szCs w:val="21"/>
        </w:rPr>
      </w:pPr>
      <w:r w:rsidRPr="00E90926">
        <w:rPr>
          <w:rFonts w:hAnsi="宋体" w:cs="方正黑体_GBK"/>
          <w:b/>
          <w:bCs/>
          <w:szCs w:val="21"/>
        </w:rPr>
        <w:t>二、基金托管人的内部控制制度</w:t>
      </w:r>
    </w:p>
    <w:p w14:paraId="1D1F73DF"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lastRenderedPageBreak/>
        <w:t>（一）内部控制目标</w:t>
      </w:r>
    </w:p>
    <w:p w14:paraId="5AACFB5D"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交通银行严格遵守国家法律法规、行业规章及行内相关管理规定，加强内部管理，托管部业务制度健全并确保贯彻执行各项规章，通过对各种风险的识别、评估、控制及缓释，有效地实现对各项业务的风险管控，确保业务稳健运行，保护基金持有人的合法权益。</w:t>
      </w:r>
    </w:p>
    <w:p w14:paraId="39341852"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t>（二）内部控制原则</w:t>
      </w:r>
    </w:p>
    <w:p w14:paraId="1E95CD18"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1、合法性原则：托管部制定的各项制度符合国家法律法规及监管机构的监管要求，并贯穿于托管业务经营管理活动始终。</w:t>
      </w:r>
    </w:p>
    <w:p w14:paraId="73E9DA3F"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2、全面性原则：托管部建立各二级部自我监控和风险合</w:t>
      </w:r>
      <w:proofErr w:type="gramStart"/>
      <w:r w:rsidRPr="00E90926">
        <w:rPr>
          <w:rFonts w:hAnsi="宋体" w:cs="方正仿宋_GBK"/>
          <w:szCs w:val="21"/>
        </w:rPr>
        <w:t>规</w:t>
      </w:r>
      <w:proofErr w:type="gramEnd"/>
      <w:r w:rsidRPr="00E90926">
        <w:rPr>
          <w:rFonts w:hAnsi="宋体" w:cs="方正仿宋_GBK"/>
          <w:szCs w:val="21"/>
        </w:rPr>
        <w:t>部风险管控的内部控制机制，覆盖各项业务、各个部门和各级人员，并渗透到决策、执行、监督、反馈等各个经营环节，建立全面的风险管理监督机制。</w:t>
      </w:r>
    </w:p>
    <w:p w14:paraId="6D669C7E"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3、独立性原则：托管部独立负责受托基金资产的保管，保证基金资产与交通银行的自有资产相互独立，对不同的受托基金资产分别设置账户，独立核算，分账管理。</w:t>
      </w:r>
    </w:p>
    <w:p w14:paraId="148E867C"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4、制衡性原则：托管</w:t>
      </w:r>
      <w:proofErr w:type="gramStart"/>
      <w:r w:rsidRPr="00E90926">
        <w:rPr>
          <w:rFonts w:hAnsi="宋体" w:cs="方正仿宋_GBK"/>
          <w:szCs w:val="21"/>
        </w:rPr>
        <w:t>部贯彻</w:t>
      </w:r>
      <w:proofErr w:type="gramEnd"/>
      <w:r w:rsidRPr="00E90926">
        <w:rPr>
          <w:rFonts w:hAnsi="宋体" w:cs="方正仿宋_GBK"/>
          <w:szCs w:val="21"/>
        </w:rPr>
        <w:t>适当授权、相互制约的原则，从组织架构的设置上确保各二级部和各岗位权责分明、相互制约，并通过有效的相互制衡措施消除内部控制中的盲点。</w:t>
      </w:r>
    </w:p>
    <w:p w14:paraId="3ACA0E80"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5、有效性原则：托管部在岗位、业务二级部和风险合</w:t>
      </w:r>
      <w:proofErr w:type="gramStart"/>
      <w:r w:rsidRPr="00E90926">
        <w:rPr>
          <w:rFonts w:hAnsi="宋体" w:cs="方正仿宋_GBK"/>
          <w:szCs w:val="21"/>
        </w:rPr>
        <w:t>规</w:t>
      </w:r>
      <w:proofErr w:type="gramEnd"/>
      <w:r w:rsidRPr="00E90926">
        <w:rPr>
          <w:rFonts w:hAnsi="宋体" w:cs="方正仿宋_GBK"/>
          <w:szCs w:val="21"/>
        </w:rPr>
        <w:t>部三级内控管理模式的基础上，形成科学合理的内部控制决策机制、执行机制和监督机制，通过行之有效的控制流程、控制措施，建立合理的内控程序，保障各项内控管理目标被有效执行。</w:t>
      </w:r>
    </w:p>
    <w:p w14:paraId="749B1AF7"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6、效益性原则：托管部内部控制与基金托管规模、业务范围和业务运作环节的风险控制要求相适应，尽量降低经营运作成本，以合理的控制成本实现最佳的内部控制目标。</w:t>
      </w:r>
    </w:p>
    <w:p w14:paraId="7D666718" w14:textId="77777777" w:rsidR="00E90926" w:rsidRPr="00E90926" w:rsidRDefault="00E90926" w:rsidP="00E90926">
      <w:pPr>
        <w:pStyle w:val="af5"/>
        <w:spacing w:line="360" w:lineRule="auto"/>
        <w:ind w:firstLineChars="200" w:firstLine="420"/>
        <w:outlineLvl w:val="0"/>
        <w:rPr>
          <w:rFonts w:hAnsi="宋体" w:cs="方正楷体_GBK" w:hint="default"/>
          <w:bCs/>
          <w:szCs w:val="21"/>
        </w:rPr>
      </w:pPr>
      <w:r w:rsidRPr="00E90926">
        <w:rPr>
          <w:rFonts w:hAnsi="宋体" w:cs="方正楷体_GBK"/>
          <w:bCs/>
          <w:szCs w:val="21"/>
        </w:rPr>
        <w:t>（三）内部控制制度及措施</w:t>
      </w:r>
    </w:p>
    <w:p w14:paraId="5C8DFD2D" w14:textId="77777777" w:rsidR="00E90926" w:rsidRPr="00E90926" w:rsidRDefault="00E90926" w:rsidP="00E90926">
      <w:pPr>
        <w:pStyle w:val="af3"/>
        <w:ind w:firstLineChars="200" w:firstLine="420"/>
        <w:rPr>
          <w:rFonts w:hAnsi="宋体" w:cs="方正仿宋_GBK" w:hint="default"/>
          <w:sz w:val="21"/>
          <w:szCs w:val="21"/>
        </w:rPr>
      </w:pPr>
      <w:r w:rsidRPr="00E90926">
        <w:rPr>
          <w:rFonts w:hAnsi="宋体" w:cs="方正仿宋_GBK"/>
          <w:bCs/>
          <w:sz w:val="21"/>
          <w:szCs w:val="21"/>
        </w:rPr>
        <w:t>根据《证券投资基金法》、《中华人民共和国商业银行法》、《商业银行资产托管业务指引》等法律法规，托管部制定了一整套严密、完整的证券投资基金托管管理规章制度，确保基金托管业务运行的规范、安全、高效，包括</w:t>
      </w:r>
      <w:r w:rsidRPr="00E90926">
        <w:rPr>
          <w:rFonts w:hAnsi="宋体" w:cs="方正仿宋_GBK"/>
          <w:sz w:val="21"/>
          <w:szCs w:val="21"/>
        </w:rPr>
        <w:t>《交通银行资产托管业务管理办法》、《交通银行资产托管业务风险管理办法》、《交通银行资产托管业务系统建设管理办法》、《交通银行资产托管部信息披露制度》、《交通银行资产托管业务商业秘密管理规定》、《交通银行资产托管业务从业人员行为规范》、《</w:t>
      </w:r>
      <w:r w:rsidRPr="00E90926">
        <w:rPr>
          <w:rFonts w:hAnsi="宋体" w:cs="方正仿宋_GBK"/>
          <w:color w:val="000000"/>
          <w:sz w:val="21"/>
          <w:szCs w:val="21"/>
        </w:rPr>
        <w:t>交通银行资产托管业务档案管理暂行办法</w:t>
      </w:r>
      <w:r w:rsidRPr="00E90926">
        <w:rPr>
          <w:rFonts w:hAnsi="宋体" w:cs="方正仿宋_GBK"/>
          <w:sz w:val="21"/>
          <w:szCs w:val="21"/>
        </w:rPr>
        <w:t xml:space="preserve">》等，并根据市场变化和基金业务的发展不断加以完善。做到业务分工科学合理，技术系统管理规范，业务管理制度健全，核心作业区实行封闭管理，落实各项安全隔离措施，相关信息披露由专人负责。 </w:t>
      </w:r>
    </w:p>
    <w:p w14:paraId="4E36921F" w14:textId="77777777" w:rsidR="00E90926" w:rsidRPr="00E90926" w:rsidRDefault="00E90926" w:rsidP="00E90926">
      <w:pPr>
        <w:pStyle w:val="af3"/>
        <w:ind w:firstLineChars="200" w:firstLine="420"/>
        <w:rPr>
          <w:rFonts w:hAnsi="宋体" w:cs="方正仿宋_GBK" w:hint="default"/>
          <w:sz w:val="21"/>
          <w:szCs w:val="21"/>
        </w:rPr>
      </w:pPr>
      <w:r w:rsidRPr="00E90926">
        <w:rPr>
          <w:rFonts w:hAnsi="宋体" w:cs="方正仿宋_GBK"/>
          <w:sz w:val="21"/>
          <w:szCs w:val="21"/>
        </w:rPr>
        <w:t>托管部通过对基金托管业务各环节的事前揭示、事中控制和事后检查措施实现全流程、</w:t>
      </w:r>
      <w:r w:rsidRPr="00E90926">
        <w:rPr>
          <w:rFonts w:hAnsi="宋体" w:cs="方正仿宋_GBK"/>
          <w:sz w:val="21"/>
          <w:szCs w:val="21"/>
        </w:rPr>
        <w:lastRenderedPageBreak/>
        <w:t>全链条的风险管理，聘请国际著名会计师事务所对基金托管业务运行进行国际标准的内部控制评审。</w:t>
      </w:r>
    </w:p>
    <w:p w14:paraId="1E9082E2" w14:textId="77777777" w:rsidR="00E90926" w:rsidRPr="00E90926" w:rsidRDefault="00E90926" w:rsidP="00E90926">
      <w:pPr>
        <w:pStyle w:val="af5"/>
        <w:spacing w:line="360" w:lineRule="auto"/>
        <w:ind w:firstLineChars="200" w:firstLine="422"/>
        <w:outlineLvl w:val="0"/>
        <w:rPr>
          <w:rFonts w:hAnsi="宋体" w:cs="方正黑体_GBK" w:hint="default"/>
          <w:b/>
          <w:bCs/>
          <w:szCs w:val="21"/>
        </w:rPr>
      </w:pPr>
      <w:r w:rsidRPr="00E90926">
        <w:rPr>
          <w:rFonts w:hAnsi="宋体" w:cs="方正黑体_GBK"/>
          <w:b/>
          <w:bCs/>
          <w:szCs w:val="21"/>
        </w:rPr>
        <w:t>三、基金托管人对基金管理人运作基金进行监督的方法和程序</w:t>
      </w:r>
    </w:p>
    <w:p w14:paraId="28F9E6DA" w14:textId="77777777" w:rsidR="00E90926" w:rsidRPr="00E90926" w:rsidRDefault="00E90926" w:rsidP="00E90926">
      <w:pPr>
        <w:pStyle w:val="af3"/>
        <w:ind w:firstLineChars="200" w:firstLine="420"/>
        <w:rPr>
          <w:rFonts w:hAnsi="宋体" w:cs="方正仿宋_GBK" w:hint="default"/>
          <w:sz w:val="21"/>
          <w:szCs w:val="21"/>
        </w:rPr>
      </w:pPr>
      <w:r w:rsidRPr="00E90926">
        <w:rPr>
          <w:rFonts w:hAnsi="宋体" w:cs="方正仿宋_GBK"/>
          <w:sz w:val="21"/>
          <w:szCs w:val="21"/>
        </w:rPr>
        <w:t>交通银行作为基金托管人，根据《证券投资基金法》、《公开募集证券投资基金运作管理办法》和有关证券法规的规定，对基金的投资对象、基金资产的投资组合比例、基金资产的核算、基金资产净值的计算、基金管理人报酬的计提和支付、基金托管人报酬的计提和支付、基金的申购资金的到账与赎回资金的划付、基金收益分配等行为的合法性、合</w:t>
      </w:r>
      <w:proofErr w:type="gramStart"/>
      <w:r w:rsidRPr="00E90926">
        <w:rPr>
          <w:rFonts w:hAnsi="宋体" w:cs="方正仿宋_GBK"/>
          <w:sz w:val="21"/>
          <w:szCs w:val="21"/>
        </w:rPr>
        <w:t>规</w:t>
      </w:r>
      <w:proofErr w:type="gramEnd"/>
      <w:r w:rsidRPr="00E90926">
        <w:rPr>
          <w:rFonts w:hAnsi="宋体" w:cs="方正仿宋_GBK"/>
          <w:sz w:val="21"/>
          <w:szCs w:val="21"/>
        </w:rPr>
        <w:t>性进行监督和核查。</w:t>
      </w:r>
    </w:p>
    <w:p w14:paraId="161A0F5E" w14:textId="77777777" w:rsidR="00E90926" w:rsidRPr="00E90926" w:rsidRDefault="00E90926" w:rsidP="00E90926">
      <w:pPr>
        <w:pStyle w:val="af3"/>
        <w:ind w:firstLineChars="200" w:firstLine="420"/>
        <w:rPr>
          <w:rFonts w:hAnsi="宋体" w:cs="方正仿宋_GBK" w:hint="default"/>
          <w:sz w:val="21"/>
          <w:szCs w:val="21"/>
        </w:rPr>
      </w:pPr>
      <w:r w:rsidRPr="00E90926">
        <w:rPr>
          <w:rFonts w:hAnsi="宋体" w:cs="方正仿宋_GBK"/>
          <w:sz w:val="21"/>
          <w:szCs w:val="21"/>
        </w:rPr>
        <w:t>交通银行作为基金托管人，发现基金管理人有违反《证券投资基金法》、《公开募集证券投资基金运作管理办法》等有关证券法规和《基金合同》的行为，及时通知基金管理人予以纠正，基金管理人收到通知后及时核对确认并进行调整。交通银行有权对通知事项进行复查，督促基金管理人改正。基金管理人对交通银行通知的违规事项未能及时纠正的，交通银行有权报告中国证监会。</w:t>
      </w:r>
    </w:p>
    <w:p w14:paraId="00CC3848" w14:textId="77777777" w:rsidR="00E90926" w:rsidRPr="00E90926" w:rsidRDefault="00E90926" w:rsidP="00E90926">
      <w:pPr>
        <w:pStyle w:val="af3"/>
        <w:ind w:firstLineChars="200" w:firstLine="420"/>
        <w:rPr>
          <w:rFonts w:hAnsi="宋体" w:cs="方正仿宋_GBK" w:hint="default"/>
          <w:sz w:val="21"/>
          <w:szCs w:val="21"/>
        </w:rPr>
      </w:pPr>
      <w:r w:rsidRPr="00E90926">
        <w:rPr>
          <w:rFonts w:hAnsi="宋体" w:cs="方正仿宋_GBK"/>
          <w:sz w:val="21"/>
          <w:szCs w:val="21"/>
        </w:rPr>
        <w:t>交通银行作为基金托管人，发现基金管理人有重大违规行为，有权立即报告中国证监会，同时通知基金管理人限期纠正。</w:t>
      </w:r>
    </w:p>
    <w:p w14:paraId="3597DF4C" w14:textId="77777777" w:rsidR="00E90926" w:rsidRPr="00E90926" w:rsidRDefault="00E90926" w:rsidP="00E90926">
      <w:pPr>
        <w:pStyle w:val="af5"/>
        <w:spacing w:line="360" w:lineRule="auto"/>
        <w:ind w:firstLineChars="200" w:firstLine="422"/>
        <w:outlineLvl w:val="0"/>
        <w:rPr>
          <w:rFonts w:hAnsi="宋体" w:cs="方正黑体_GBK" w:hint="default"/>
          <w:b/>
          <w:bCs/>
          <w:szCs w:val="21"/>
        </w:rPr>
      </w:pPr>
      <w:r w:rsidRPr="00E90926">
        <w:rPr>
          <w:rFonts w:hAnsi="宋体" w:cs="方正黑体_GBK"/>
          <w:b/>
          <w:bCs/>
          <w:szCs w:val="21"/>
        </w:rPr>
        <w:t>四、其他事项</w:t>
      </w:r>
    </w:p>
    <w:p w14:paraId="1E5E48D8" w14:textId="77777777" w:rsidR="00E90926" w:rsidRPr="00E90926" w:rsidRDefault="00E90926" w:rsidP="00E90926">
      <w:pPr>
        <w:pStyle w:val="af5"/>
        <w:spacing w:line="360" w:lineRule="auto"/>
        <w:ind w:firstLineChars="200" w:firstLine="420"/>
        <w:rPr>
          <w:rFonts w:hAnsi="宋体" w:cs="方正仿宋_GBK" w:hint="default"/>
          <w:szCs w:val="21"/>
        </w:rPr>
      </w:pPr>
      <w:r w:rsidRPr="00E90926">
        <w:rPr>
          <w:rFonts w:hAnsi="宋体" w:cs="方正仿宋_GBK"/>
          <w:szCs w:val="21"/>
        </w:rPr>
        <w:t>最近一年内交通银行及其负责资产托管业务的高级管理人员无重大违法违规行为，未受到中国人民银行、中国证监会、中国银保监会及其他有关机关的处罚。负责基金托管业务的高级管理人员在基金管理公司无兼职的情况。</w:t>
      </w:r>
    </w:p>
    <w:p w14:paraId="11F0DB0A" w14:textId="77777777" w:rsidR="00706097" w:rsidRDefault="00DA6858">
      <w:pPr>
        <w:tabs>
          <w:tab w:val="left" w:pos="2160"/>
        </w:tabs>
        <w:adjustRightInd w:val="0"/>
        <w:snapToGrid w:val="0"/>
        <w:spacing w:line="360" w:lineRule="auto"/>
        <w:ind w:firstLineChars="200" w:firstLine="420"/>
        <w:rPr>
          <w:rFonts w:ascii="宋体" w:hAnsi="宋体"/>
          <w:kern w:val="0"/>
        </w:rPr>
      </w:pPr>
      <w:r>
        <w:rPr>
          <w:rFonts w:ascii="宋体" w:hAnsi="宋体"/>
          <w:kern w:val="0"/>
        </w:rPr>
        <w:br w:type="page"/>
      </w:r>
    </w:p>
    <w:p w14:paraId="600FD6F0" w14:textId="77777777" w:rsidR="00706097" w:rsidRDefault="00DA6858">
      <w:pPr>
        <w:pStyle w:val="21"/>
        <w:numPr>
          <w:ilvl w:val="0"/>
          <w:numId w:val="28"/>
        </w:numPr>
        <w:snapToGrid w:val="0"/>
        <w:spacing w:before="0" w:after="0" w:line="360" w:lineRule="auto"/>
        <w:jc w:val="left"/>
        <w:rPr>
          <w:rFonts w:ascii="宋体" w:eastAsia="宋体" w:hAnsi="宋体"/>
        </w:rPr>
      </w:pPr>
      <w:bookmarkStart w:id="44" w:name="_Toc360793497"/>
      <w:bookmarkStart w:id="45" w:name="_Toc76483007"/>
      <w:bookmarkStart w:id="46" w:name="_Toc360794099"/>
      <w:bookmarkStart w:id="47" w:name="_Toc360794515"/>
      <w:bookmarkStart w:id="48" w:name="_Toc360794407"/>
      <w:bookmarkStart w:id="49" w:name="_Toc360793849"/>
      <w:bookmarkStart w:id="50" w:name="_Toc362455182"/>
      <w:bookmarkStart w:id="51" w:name="_Toc362533454"/>
      <w:r>
        <w:rPr>
          <w:rFonts w:ascii="宋体" w:eastAsia="宋体" w:hAnsi="宋体" w:hint="eastAsia"/>
        </w:rPr>
        <w:lastRenderedPageBreak/>
        <w:t>相关服务机构</w:t>
      </w:r>
      <w:bookmarkEnd w:id="44"/>
      <w:bookmarkEnd w:id="45"/>
      <w:bookmarkEnd w:id="46"/>
      <w:bookmarkEnd w:id="47"/>
      <w:bookmarkEnd w:id="48"/>
      <w:bookmarkEnd w:id="49"/>
      <w:bookmarkEnd w:id="50"/>
      <w:bookmarkEnd w:id="51"/>
    </w:p>
    <w:p w14:paraId="5AB599E4" w14:textId="77777777" w:rsidR="00706097" w:rsidRDefault="00706097">
      <w:pPr>
        <w:autoSpaceDE w:val="0"/>
        <w:autoSpaceDN w:val="0"/>
        <w:adjustRightInd w:val="0"/>
        <w:snapToGrid w:val="0"/>
        <w:spacing w:line="360" w:lineRule="auto"/>
        <w:ind w:firstLine="420"/>
        <w:rPr>
          <w:rFonts w:ascii="宋体" w:hAnsi="宋体"/>
          <w:b/>
          <w:bCs/>
          <w:kern w:val="0"/>
          <w:szCs w:val="20"/>
        </w:rPr>
      </w:pPr>
    </w:p>
    <w:p w14:paraId="03DD9E77" w14:textId="77777777" w:rsidR="00706097" w:rsidRDefault="00DA6858">
      <w:pPr>
        <w:autoSpaceDE w:val="0"/>
        <w:autoSpaceDN w:val="0"/>
        <w:adjustRightInd w:val="0"/>
        <w:snapToGrid w:val="0"/>
        <w:spacing w:line="360" w:lineRule="auto"/>
        <w:ind w:firstLine="420"/>
        <w:rPr>
          <w:rFonts w:ascii="宋体" w:hAnsi="宋体"/>
          <w:b/>
          <w:bCs/>
          <w:kern w:val="0"/>
          <w:szCs w:val="20"/>
        </w:rPr>
      </w:pPr>
      <w:r>
        <w:rPr>
          <w:rFonts w:ascii="宋体" w:hAnsi="宋体" w:hint="eastAsia"/>
          <w:b/>
          <w:bCs/>
          <w:kern w:val="0"/>
          <w:szCs w:val="20"/>
        </w:rPr>
        <w:t>一、销售机构</w:t>
      </w:r>
    </w:p>
    <w:p w14:paraId="6814FE8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1、直销机构</w:t>
      </w:r>
    </w:p>
    <w:p w14:paraId="0874EC2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东海基金管理有限责任公司直销中心</w:t>
      </w:r>
    </w:p>
    <w:p w14:paraId="0893E0E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住所：上海市虹口区丰镇路806号3幢360室</w:t>
      </w:r>
    </w:p>
    <w:p w14:paraId="2C2867E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办公地址：上海市浦东</w:t>
      </w:r>
      <w:proofErr w:type="gramStart"/>
      <w:r>
        <w:rPr>
          <w:rFonts w:ascii="宋体" w:hAnsi="宋体" w:hint="eastAsia"/>
          <w:bCs/>
          <w:szCs w:val="21"/>
        </w:rPr>
        <w:t>新区世纪</w:t>
      </w:r>
      <w:proofErr w:type="gramEnd"/>
      <w:r>
        <w:rPr>
          <w:rFonts w:ascii="宋体" w:hAnsi="宋体" w:hint="eastAsia"/>
          <w:bCs/>
          <w:szCs w:val="21"/>
        </w:rPr>
        <w:t>大道1528号陆家</w:t>
      </w:r>
      <w:proofErr w:type="gramStart"/>
      <w:r>
        <w:rPr>
          <w:rFonts w:ascii="宋体" w:hAnsi="宋体" w:hint="eastAsia"/>
          <w:bCs/>
          <w:szCs w:val="21"/>
        </w:rPr>
        <w:t>嘴基金</w:t>
      </w:r>
      <w:proofErr w:type="gramEnd"/>
      <w:r>
        <w:rPr>
          <w:rFonts w:ascii="宋体" w:hAnsi="宋体" w:hint="eastAsia"/>
          <w:bCs/>
          <w:szCs w:val="21"/>
        </w:rPr>
        <w:t>大厦15楼</w:t>
      </w:r>
    </w:p>
    <w:p w14:paraId="2527865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法定代表人：严晓珺</w:t>
      </w:r>
    </w:p>
    <w:p w14:paraId="785903D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电话：021-60584533 </w:t>
      </w:r>
    </w:p>
    <w:p w14:paraId="09F4C88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传真：（021）60586926</w:t>
      </w:r>
    </w:p>
    <w:p w14:paraId="0EBD240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联系人：耿</w:t>
      </w:r>
      <w:proofErr w:type="gramStart"/>
      <w:r>
        <w:rPr>
          <w:rFonts w:ascii="宋体" w:hAnsi="宋体" w:hint="eastAsia"/>
          <w:bCs/>
          <w:szCs w:val="21"/>
        </w:rPr>
        <w:t>慰</w:t>
      </w:r>
      <w:proofErr w:type="gramEnd"/>
      <w:r>
        <w:rPr>
          <w:rFonts w:ascii="宋体" w:hAnsi="宋体" w:hint="eastAsia"/>
          <w:bCs/>
          <w:szCs w:val="21"/>
        </w:rPr>
        <w:t>康</w:t>
      </w:r>
    </w:p>
    <w:p w14:paraId="091C039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客户服务电话：400-9595531（免长途话费） </w:t>
      </w:r>
    </w:p>
    <w:p w14:paraId="12C2E35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网址：www.donghaifunds.com</w:t>
      </w:r>
    </w:p>
    <w:p w14:paraId="59995E5F" w14:textId="77777777" w:rsidR="00706097" w:rsidRDefault="00706097">
      <w:pPr>
        <w:tabs>
          <w:tab w:val="left" w:pos="961"/>
        </w:tabs>
        <w:snapToGrid w:val="0"/>
        <w:spacing w:line="360" w:lineRule="auto"/>
        <w:ind w:firstLineChars="200" w:firstLine="420"/>
        <w:rPr>
          <w:rFonts w:ascii="宋体" w:hAnsi="宋体"/>
          <w:bCs/>
          <w:szCs w:val="21"/>
        </w:rPr>
      </w:pPr>
    </w:p>
    <w:p w14:paraId="6BC6387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2、其他销售机构</w:t>
      </w:r>
    </w:p>
    <w:p w14:paraId="2E70A11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（1）华鑫证券有限责任公司</w:t>
      </w:r>
    </w:p>
    <w:p w14:paraId="31E0DF6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注册地址：深圳市福田区莲花街道福中社区深南大道2008号中国凤凰大厦1栋20C-1房</w:t>
      </w:r>
    </w:p>
    <w:p w14:paraId="1AE62E8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办公地址：上海市徐汇区宛平南路8号</w:t>
      </w:r>
    </w:p>
    <w:p w14:paraId="0B94DEC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法定代表人：俞洋</w:t>
      </w:r>
    </w:p>
    <w:p w14:paraId="6932F59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电话：021-64339000</w:t>
      </w:r>
    </w:p>
    <w:p w14:paraId="6304B3B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传真：021-64376097</w:t>
      </w:r>
    </w:p>
    <w:p w14:paraId="46704C9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联系人：刘熠</w:t>
      </w:r>
    </w:p>
    <w:p w14:paraId="5D377BD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客服电话：4001099918</w:t>
      </w:r>
    </w:p>
    <w:p w14:paraId="34970DB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网站：www.cfsc.com.cn</w:t>
      </w:r>
    </w:p>
    <w:p w14:paraId="21F7310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（2）中国银河证券股份有限公司</w:t>
      </w:r>
    </w:p>
    <w:p w14:paraId="2320AED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住所：北京市西城区金融大街35号2-6层</w:t>
      </w:r>
    </w:p>
    <w:p w14:paraId="37DF302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办公地址：北京市西城区金融大街35号国际企业大厦C座</w:t>
      </w:r>
    </w:p>
    <w:p w14:paraId="0847837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w:t>
      </w:r>
      <w:proofErr w:type="gramStart"/>
      <w:r>
        <w:rPr>
          <w:rFonts w:ascii="宋体" w:hAnsi="宋体" w:hint="eastAsia"/>
          <w:bCs/>
          <w:szCs w:val="21"/>
        </w:rPr>
        <w:t>陈共炎</w:t>
      </w:r>
      <w:proofErr w:type="gramEnd"/>
    </w:p>
    <w:p w14:paraId="3A8C302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w:t>
      </w:r>
      <w:proofErr w:type="gramStart"/>
      <w:r>
        <w:rPr>
          <w:rFonts w:ascii="宋体" w:hAnsi="宋体" w:hint="eastAsia"/>
          <w:bCs/>
          <w:szCs w:val="21"/>
        </w:rPr>
        <w:t>刘舒扬</w:t>
      </w:r>
      <w:proofErr w:type="gramEnd"/>
    </w:p>
    <w:p w14:paraId="2F1FDE3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电话：010-80928121</w:t>
      </w:r>
    </w:p>
    <w:p w14:paraId="749C0D6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传真：010-66568990</w:t>
      </w:r>
    </w:p>
    <w:p w14:paraId="21BC636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客户服务电话：4008-888-888</w:t>
      </w:r>
    </w:p>
    <w:p w14:paraId="533DEE22"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lastRenderedPageBreak/>
        <w:t>网址：www.chinastock.com.cn</w:t>
      </w:r>
    </w:p>
    <w:p w14:paraId="09E5836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（3）上海天天基金销售有限公司</w:t>
      </w:r>
    </w:p>
    <w:p w14:paraId="44EE628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住所：上海市徐汇区龙田路190号2号楼</w:t>
      </w:r>
    </w:p>
    <w:p w14:paraId="0846AEA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办公地址：上海市徐汇区宛平南路88号东方财富大厦</w:t>
      </w:r>
    </w:p>
    <w:p w14:paraId="1AA7462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法定代表人：其实</w:t>
      </w:r>
    </w:p>
    <w:p w14:paraId="1E3B78A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联系人：王超</w:t>
      </w:r>
    </w:p>
    <w:p w14:paraId="6A90456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电话：021-54509988</w:t>
      </w:r>
    </w:p>
    <w:p w14:paraId="3BC37D1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传真：021-64385308</w:t>
      </w:r>
    </w:p>
    <w:p w14:paraId="55A30B8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客服电话：400-1818-188</w:t>
      </w:r>
    </w:p>
    <w:p w14:paraId="6AFD7BD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网址：www.1234567.com.cn</w:t>
      </w:r>
    </w:p>
    <w:p w14:paraId="19853D2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(4) 东海期货有限责任公司</w:t>
      </w:r>
    </w:p>
    <w:p w14:paraId="2788BF3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注册地址：江苏省</w:t>
      </w:r>
      <w:proofErr w:type="gramStart"/>
      <w:r>
        <w:rPr>
          <w:rFonts w:ascii="宋体" w:hAnsi="宋体" w:hint="eastAsia"/>
          <w:bCs/>
          <w:szCs w:val="21"/>
        </w:rPr>
        <w:t>常州市延陵</w:t>
      </w:r>
      <w:proofErr w:type="gramEnd"/>
      <w:r>
        <w:rPr>
          <w:rFonts w:ascii="宋体" w:hAnsi="宋体" w:hint="eastAsia"/>
          <w:bCs/>
          <w:szCs w:val="21"/>
        </w:rPr>
        <w:t>西路23、25、27、29号</w:t>
      </w:r>
    </w:p>
    <w:p w14:paraId="441D637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办公地址：上海市浦东新区东方路1928号东海证券大厦8楼</w:t>
      </w:r>
    </w:p>
    <w:p w14:paraId="367DEA6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法定代表人：陈太康</w:t>
      </w:r>
    </w:p>
    <w:p w14:paraId="17965C4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联系人: </w:t>
      </w:r>
      <w:proofErr w:type="gramStart"/>
      <w:r>
        <w:rPr>
          <w:rFonts w:ascii="宋体" w:hAnsi="宋体" w:hint="eastAsia"/>
          <w:bCs/>
          <w:szCs w:val="21"/>
        </w:rPr>
        <w:t>严海萌</w:t>
      </w:r>
      <w:proofErr w:type="gramEnd"/>
    </w:p>
    <w:p w14:paraId="7E5E774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电话：021-68751603</w:t>
      </w:r>
      <w:r>
        <w:rPr>
          <w:rFonts w:ascii="宋体" w:hAnsi="宋体" w:hint="eastAsia"/>
          <w:bCs/>
          <w:szCs w:val="21"/>
        </w:rPr>
        <w:tab/>
      </w:r>
      <w:r>
        <w:rPr>
          <w:rFonts w:ascii="宋体" w:hAnsi="宋体" w:hint="eastAsia"/>
          <w:bCs/>
          <w:szCs w:val="21"/>
        </w:rPr>
        <w:tab/>
      </w:r>
    </w:p>
    <w:p w14:paraId="091342E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传真：021-68756991</w:t>
      </w:r>
    </w:p>
    <w:p w14:paraId="42F961E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w:t>
      </w:r>
      <w:proofErr w:type="gramStart"/>
      <w:r>
        <w:rPr>
          <w:rFonts w:ascii="宋体" w:hAnsi="宋体" w:hint="eastAsia"/>
          <w:bCs/>
          <w:szCs w:val="21"/>
        </w:rPr>
        <w:t>服电话</w:t>
      </w:r>
      <w:proofErr w:type="gramEnd"/>
      <w:r>
        <w:rPr>
          <w:rFonts w:ascii="宋体" w:hAnsi="宋体" w:hint="eastAsia"/>
          <w:bCs/>
          <w:szCs w:val="21"/>
        </w:rPr>
        <w:t>: 95531</w:t>
      </w:r>
    </w:p>
    <w:p w14:paraId="742E465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 www.qh</w:t>
      </w:r>
      <w:r>
        <w:rPr>
          <w:rFonts w:ascii="宋体" w:hAnsi="宋体"/>
          <w:bCs/>
          <w:szCs w:val="21"/>
        </w:rPr>
        <w:t>168</w:t>
      </w:r>
      <w:r>
        <w:rPr>
          <w:rFonts w:ascii="宋体" w:hAnsi="宋体" w:hint="eastAsia"/>
          <w:bCs/>
          <w:szCs w:val="21"/>
        </w:rPr>
        <w:t>.com.cn</w:t>
      </w:r>
    </w:p>
    <w:p w14:paraId="2E4D6CD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（5）东海证券股份有限公司</w:t>
      </w:r>
    </w:p>
    <w:p w14:paraId="6B5664D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注册地址：江苏省</w:t>
      </w:r>
      <w:proofErr w:type="gramStart"/>
      <w:r>
        <w:rPr>
          <w:rFonts w:ascii="宋体" w:hAnsi="宋体" w:hint="eastAsia"/>
          <w:bCs/>
          <w:szCs w:val="21"/>
        </w:rPr>
        <w:t>常州市延陵</w:t>
      </w:r>
      <w:proofErr w:type="gramEnd"/>
      <w:r>
        <w:rPr>
          <w:rFonts w:ascii="宋体" w:hAnsi="宋体" w:hint="eastAsia"/>
          <w:bCs/>
          <w:szCs w:val="21"/>
        </w:rPr>
        <w:t>西路23号投资广场18层</w:t>
      </w:r>
    </w:p>
    <w:p w14:paraId="6C66ED3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办公地址：上海市浦东新区东方路1928号东海证券大厦</w:t>
      </w:r>
    </w:p>
    <w:p w14:paraId="43A7F6E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法定代表人：钱俊文</w:t>
      </w:r>
    </w:p>
    <w:p w14:paraId="1DB8E41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联系人：汪汇</w:t>
      </w:r>
    </w:p>
    <w:p w14:paraId="5913728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电话：021-20333363</w:t>
      </w:r>
    </w:p>
    <w:p w14:paraId="5A1E01B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传真：021-50498825</w:t>
      </w:r>
    </w:p>
    <w:p w14:paraId="4C3453F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客服电话：95531</w:t>
      </w:r>
    </w:p>
    <w:p w14:paraId="0E863B6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网址：www.longone.com.cn</w:t>
      </w:r>
    </w:p>
    <w:p w14:paraId="4EA2480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（6）海通证券股份有限公司</w:t>
      </w:r>
    </w:p>
    <w:p w14:paraId="42B2B57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注册地址：上海市黄浦区广东路689号海通证券大厦 </w:t>
      </w:r>
    </w:p>
    <w:p w14:paraId="5CE8B6E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办公地址：上海市黄浦区广东路689号海通证券大厦</w:t>
      </w:r>
    </w:p>
    <w:p w14:paraId="66BC99F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法定代表人：周杰 </w:t>
      </w:r>
    </w:p>
    <w:p w14:paraId="6C6CB7A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联系人：李笑鸣</w:t>
      </w:r>
    </w:p>
    <w:p w14:paraId="21CF8B9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电话：021-23219000</w:t>
      </w:r>
    </w:p>
    <w:p w14:paraId="322A0F2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lastRenderedPageBreak/>
        <w:t>客户服务电话：95553</w:t>
      </w:r>
    </w:p>
    <w:p w14:paraId="1294C82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网站：www.htsec.com</w:t>
      </w:r>
    </w:p>
    <w:p w14:paraId="70CE55D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（7）蚂蚁（杭州）基金销售有限公司</w:t>
      </w:r>
    </w:p>
    <w:p w14:paraId="36C0916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住所：杭州市余杭区仓前街道文</w:t>
      </w:r>
      <w:proofErr w:type="gramStart"/>
      <w:r>
        <w:rPr>
          <w:rFonts w:ascii="宋体" w:hAnsi="宋体" w:hint="eastAsia"/>
          <w:bCs/>
          <w:szCs w:val="21"/>
        </w:rPr>
        <w:t>一</w:t>
      </w:r>
      <w:proofErr w:type="gramEnd"/>
      <w:r>
        <w:rPr>
          <w:rFonts w:ascii="宋体" w:hAnsi="宋体" w:hint="eastAsia"/>
          <w:bCs/>
          <w:szCs w:val="21"/>
        </w:rPr>
        <w:t>西路 1218号1栋202室</w:t>
      </w:r>
    </w:p>
    <w:p w14:paraId="14978E3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办公地址：杭州市西湖</w:t>
      </w:r>
      <w:proofErr w:type="gramStart"/>
      <w:r>
        <w:rPr>
          <w:rFonts w:ascii="宋体" w:hAnsi="宋体" w:hint="eastAsia"/>
          <w:bCs/>
          <w:szCs w:val="21"/>
        </w:rPr>
        <w:t>区万塘路</w:t>
      </w:r>
      <w:proofErr w:type="gramEnd"/>
      <w:r>
        <w:rPr>
          <w:rFonts w:ascii="宋体" w:hAnsi="宋体" w:hint="eastAsia"/>
          <w:bCs/>
          <w:szCs w:val="21"/>
        </w:rPr>
        <w:t>18号黄龙时代广场B座</w:t>
      </w:r>
    </w:p>
    <w:p w14:paraId="15378D6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法定代表人：祖国明</w:t>
      </w:r>
    </w:p>
    <w:p w14:paraId="0F377AF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联系人：周雁雯</w:t>
      </w:r>
    </w:p>
    <w:p w14:paraId="5E74F61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电话：0571-28829790</w:t>
      </w:r>
    </w:p>
    <w:p w14:paraId="481208E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传真：0571-26698533</w:t>
      </w:r>
    </w:p>
    <w:p w14:paraId="76EC6E5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客服电话：4000-766-123</w:t>
      </w:r>
    </w:p>
    <w:p w14:paraId="6752EDE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网址：www.fund123.cn</w:t>
      </w:r>
    </w:p>
    <w:p w14:paraId="737E9EF2"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（8）恒泰证券股份有限公司</w:t>
      </w:r>
    </w:p>
    <w:p w14:paraId="5BA4A1C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注册地址：内蒙古自治区呼和浩特市新城区海拉尔东街满</w:t>
      </w:r>
      <w:proofErr w:type="gramStart"/>
      <w:r>
        <w:rPr>
          <w:rFonts w:ascii="宋体" w:hAnsi="宋体" w:hint="eastAsia"/>
          <w:bCs/>
          <w:szCs w:val="21"/>
        </w:rPr>
        <w:t>世</w:t>
      </w:r>
      <w:proofErr w:type="gramEnd"/>
      <w:r>
        <w:rPr>
          <w:rFonts w:ascii="宋体" w:hAnsi="宋体" w:hint="eastAsia"/>
          <w:bCs/>
          <w:szCs w:val="21"/>
        </w:rPr>
        <w:t>尚都办公商业综合楼</w:t>
      </w:r>
    </w:p>
    <w:p w14:paraId="55E000E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办公地址：中国北京市西城区金融大街17号中国人</w:t>
      </w:r>
      <w:proofErr w:type="gramStart"/>
      <w:r>
        <w:rPr>
          <w:rFonts w:ascii="宋体" w:hAnsi="宋体" w:hint="eastAsia"/>
          <w:bCs/>
          <w:szCs w:val="21"/>
        </w:rPr>
        <w:t>寿中心</w:t>
      </w:r>
      <w:proofErr w:type="gramEnd"/>
      <w:r>
        <w:rPr>
          <w:rFonts w:ascii="宋体" w:hAnsi="宋体" w:hint="eastAsia"/>
          <w:bCs/>
          <w:szCs w:val="21"/>
        </w:rPr>
        <w:t>11楼</w:t>
      </w:r>
    </w:p>
    <w:p w14:paraId="0D905A9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法定代表人：庞介民</w:t>
      </w:r>
    </w:p>
    <w:p w14:paraId="75EF37A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联系人：熊丽</w:t>
      </w:r>
    </w:p>
    <w:p w14:paraId="7537E13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电话：0471-4972675</w:t>
      </w:r>
    </w:p>
    <w:p w14:paraId="7BC8782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客服电话：956088</w:t>
      </w:r>
    </w:p>
    <w:p w14:paraId="54B6B41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网址：www.cnht.com</w:t>
      </w:r>
    </w:p>
    <w:p w14:paraId="0028495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（9）开源证券股份有限公司</w:t>
      </w:r>
    </w:p>
    <w:p w14:paraId="2492B77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住所：陕西省西安市高新区</w:t>
      </w:r>
      <w:proofErr w:type="gramStart"/>
      <w:r>
        <w:rPr>
          <w:rFonts w:ascii="宋体" w:hAnsi="宋体" w:hint="eastAsia"/>
          <w:bCs/>
          <w:szCs w:val="21"/>
        </w:rPr>
        <w:t>锦业路1号</w:t>
      </w:r>
      <w:proofErr w:type="gramEnd"/>
      <w:r>
        <w:rPr>
          <w:rFonts w:ascii="宋体" w:hAnsi="宋体" w:hint="eastAsia"/>
          <w:bCs/>
          <w:szCs w:val="21"/>
        </w:rPr>
        <w:t>都市之门B座5层</w:t>
      </w:r>
    </w:p>
    <w:p w14:paraId="2B9646A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办公地址：陕西省西安市高新区</w:t>
      </w:r>
      <w:proofErr w:type="gramStart"/>
      <w:r>
        <w:rPr>
          <w:rFonts w:ascii="宋体" w:hAnsi="宋体" w:hint="eastAsia"/>
          <w:bCs/>
          <w:szCs w:val="21"/>
        </w:rPr>
        <w:t>锦业路1号</w:t>
      </w:r>
      <w:proofErr w:type="gramEnd"/>
      <w:r>
        <w:rPr>
          <w:rFonts w:ascii="宋体" w:hAnsi="宋体" w:hint="eastAsia"/>
          <w:bCs/>
          <w:szCs w:val="21"/>
        </w:rPr>
        <w:t>都市之门B座5层</w:t>
      </w:r>
    </w:p>
    <w:p w14:paraId="3F21296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法定代表人：李刚</w:t>
      </w:r>
    </w:p>
    <w:p w14:paraId="763EC2E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联系人：邵丹</w:t>
      </w:r>
    </w:p>
    <w:p w14:paraId="60C86B1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电话：029-88365850</w:t>
      </w:r>
    </w:p>
    <w:p w14:paraId="03C03FE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客户服务电话：95325</w:t>
      </w:r>
    </w:p>
    <w:p w14:paraId="016104E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网站：http://www.kysec.cn/</w:t>
      </w:r>
    </w:p>
    <w:p w14:paraId="0206907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（10）浙江同花</w:t>
      </w:r>
      <w:proofErr w:type="gramStart"/>
      <w:r>
        <w:rPr>
          <w:rFonts w:ascii="宋体" w:hAnsi="宋体" w:hint="eastAsia"/>
          <w:bCs/>
          <w:szCs w:val="21"/>
        </w:rPr>
        <w:t>顺基金</w:t>
      </w:r>
      <w:proofErr w:type="gramEnd"/>
      <w:r>
        <w:rPr>
          <w:rFonts w:ascii="宋体" w:hAnsi="宋体" w:hint="eastAsia"/>
          <w:bCs/>
          <w:szCs w:val="21"/>
        </w:rPr>
        <w:t>销售有限公司</w:t>
      </w:r>
    </w:p>
    <w:p w14:paraId="50E066E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注册地址：浙江省杭州市文二西路1号元茂大厦903</w:t>
      </w:r>
    </w:p>
    <w:p w14:paraId="4BD8195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办公地址：浙江省杭州市西湖区</w:t>
      </w:r>
      <w:proofErr w:type="gramStart"/>
      <w:r>
        <w:rPr>
          <w:rFonts w:ascii="宋体" w:hAnsi="宋体" w:hint="eastAsia"/>
          <w:bCs/>
          <w:szCs w:val="21"/>
        </w:rPr>
        <w:t>翠柏路</w:t>
      </w:r>
      <w:proofErr w:type="gramEnd"/>
      <w:r>
        <w:rPr>
          <w:rFonts w:ascii="宋体" w:hAnsi="宋体" w:hint="eastAsia"/>
          <w:bCs/>
          <w:szCs w:val="21"/>
        </w:rPr>
        <w:t>7号电子商务产业园2号楼2楼</w:t>
      </w:r>
    </w:p>
    <w:p w14:paraId="3C52294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法人代表：吴强</w:t>
      </w:r>
    </w:p>
    <w:p w14:paraId="370570F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联系电话：0571-88911818</w:t>
      </w:r>
    </w:p>
    <w:p w14:paraId="66CC739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传真电话：0571-86800423</w:t>
      </w:r>
    </w:p>
    <w:p w14:paraId="4C7B9EA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客服电话：4008-773-772</w:t>
      </w:r>
    </w:p>
    <w:p w14:paraId="3D835AD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lastRenderedPageBreak/>
        <w:t>公司网站：www.5ifund.com</w:t>
      </w:r>
    </w:p>
    <w:p w14:paraId="7340DDF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（11）大连</w:t>
      </w:r>
      <w:proofErr w:type="gramStart"/>
      <w:r>
        <w:rPr>
          <w:rFonts w:ascii="宋体" w:hAnsi="宋体" w:hint="eastAsia"/>
          <w:bCs/>
          <w:szCs w:val="21"/>
        </w:rPr>
        <w:t>网金基金</w:t>
      </w:r>
      <w:proofErr w:type="gramEnd"/>
      <w:r>
        <w:rPr>
          <w:rFonts w:ascii="宋体" w:hAnsi="宋体" w:hint="eastAsia"/>
          <w:bCs/>
          <w:szCs w:val="21"/>
        </w:rPr>
        <w:t>销售有限公司</w:t>
      </w:r>
    </w:p>
    <w:p w14:paraId="1A8F5FB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注册地址：辽宁省大连市沙河口区体坛路22号诺德大厦2层202室</w:t>
      </w:r>
    </w:p>
    <w:p w14:paraId="0957980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办公地址：辽宁省大连市沙河口区体坛路22号诺德大厦2层202室</w:t>
      </w:r>
    </w:p>
    <w:p w14:paraId="006FB59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法定代表人：樊怀东</w:t>
      </w:r>
    </w:p>
    <w:p w14:paraId="5894FC3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联系人：于秀</w:t>
      </w:r>
    </w:p>
    <w:p w14:paraId="669C14C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电话：15542702283</w:t>
      </w:r>
    </w:p>
    <w:p w14:paraId="0CD6235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客服电话：4000-899-100</w:t>
      </w:r>
    </w:p>
    <w:p w14:paraId="0E1561B2"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网址：www.yibaijin.com</w:t>
      </w:r>
    </w:p>
    <w:p w14:paraId="6551B4E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（12）中</w:t>
      </w:r>
      <w:proofErr w:type="gramStart"/>
      <w:r>
        <w:rPr>
          <w:rFonts w:ascii="宋体" w:hAnsi="宋体" w:hint="eastAsia"/>
          <w:bCs/>
          <w:szCs w:val="21"/>
        </w:rPr>
        <w:t>信建投证券</w:t>
      </w:r>
      <w:proofErr w:type="gramEnd"/>
      <w:r>
        <w:rPr>
          <w:rFonts w:ascii="宋体" w:hAnsi="宋体" w:hint="eastAsia"/>
          <w:bCs/>
          <w:szCs w:val="21"/>
        </w:rPr>
        <w:t>股份有限公司</w:t>
      </w:r>
    </w:p>
    <w:p w14:paraId="0A9576C2"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注册地址：北京市朝阳区安立路66号4号楼 </w:t>
      </w:r>
    </w:p>
    <w:p w14:paraId="22F9A17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办公地址：北京市东城区朝内大街188号</w:t>
      </w:r>
    </w:p>
    <w:p w14:paraId="5DB4BD9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法定代表人：王常青</w:t>
      </w:r>
    </w:p>
    <w:p w14:paraId="79D9C50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联系人：许梦园</w:t>
      </w:r>
    </w:p>
    <w:p w14:paraId="3269B8A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电话：010-85156398</w:t>
      </w:r>
    </w:p>
    <w:p w14:paraId="1CDE91C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客服电话：4008-888-108</w:t>
      </w:r>
    </w:p>
    <w:p w14:paraId="218C2DD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网址：www.csc108.com</w:t>
      </w:r>
    </w:p>
    <w:p w14:paraId="19C7EFD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（13）珠海</w:t>
      </w:r>
      <w:proofErr w:type="gramStart"/>
      <w:r>
        <w:rPr>
          <w:rFonts w:ascii="宋体" w:hAnsi="宋体" w:hint="eastAsia"/>
          <w:bCs/>
          <w:szCs w:val="21"/>
        </w:rPr>
        <w:t>盈米基金</w:t>
      </w:r>
      <w:proofErr w:type="gramEnd"/>
      <w:r>
        <w:rPr>
          <w:rFonts w:ascii="宋体" w:hAnsi="宋体" w:hint="eastAsia"/>
          <w:bCs/>
          <w:szCs w:val="21"/>
        </w:rPr>
        <w:t>销售有限公司</w:t>
      </w:r>
    </w:p>
    <w:p w14:paraId="2649F22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注册地址：广州市海珠区</w:t>
      </w:r>
      <w:proofErr w:type="gramStart"/>
      <w:r>
        <w:rPr>
          <w:rFonts w:ascii="宋体" w:hAnsi="宋体" w:hint="eastAsia"/>
          <w:bCs/>
          <w:szCs w:val="21"/>
        </w:rPr>
        <w:t>琶</w:t>
      </w:r>
      <w:proofErr w:type="gramEnd"/>
      <w:r>
        <w:rPr>
          <w:rFonts w:ascii="宋体" w:hAnsi="宋体" w:hint="eastAsia"/>
          <w:bCs/>
          <w:szCs w:val="21"/>
        </w:rPr>
        <w:t>洲大道东1号保利国际广场南塔楼1201-1203</w:t>
      </w:r>
    </w:p>
    <w:p w14:paraId="7DDBF8E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办公地址：广州市海珠区</w:t>
      </w:r>
      <w:proofErr w:type="gramStart"/>
      <w:r>
        <w:rPr>
          <w:rFonts w:ascii="宋体" w:hAnsi="宋体" w:hint="eastAsia"/>
          <w:bCs/>
          <w:szCs w:val="21"/>
        </w:rPr>
        <w:t>琶</w:t>
      </w:r>
      <w:proofErr w:type="gramEnd"/>
      <w:r>
        <w:rPr>
          <w:rFonts w:ascii="宋体" w:hAnsi="宋体" w:hint="eastAsia"/>
          <w:bCs/>
          <w:szCs w:val="21"/>
        </w:rPr>
        <w:t>洲大道东1号保利国际广场南塔楼1201-1203</w:t>
      </w:r>
    </w:p>
    <w:p w14:paraId="7AE92A0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法定代表人：肖雯</w:t>
      </w:r>
    </w:p>
    <w:p w14:paraId="5DFE6D0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联系人：王宇昕</w:t>
      </w:r>
    </w:p>
    <w:p w14:paraId="04A912E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电话：158-1881-6949</w:t>
      </w:r>
    </w:p>
    <w:p w14:paraId="65465F8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传真：020-89629011</w:t>
      </w:r>
    </w:p>
    <w:p w14:paraId="57CBF92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客服电话：020-89629066</w:t>
      </w:r>
    </w:p>
    <w:p w14:paraId="4721A2E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网址：https://www.yingmi.cn</w:t>
      </w:r>
    </w:p>
    <w:p w14:paraId="70738D6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（14）上海利得基金销售有限公司</w:t>
      </w:r>
    </w:p>
    <w:p w14:paraId="1C046A3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注册地址：宝山区蕴川路5475号1033室</w:t>
      </w:r>
    </w:p>
    <w:p w14:paraId="706B394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办公地址：上海市虹口区东大名路1098号浦江国际金融广场53层</w:t>
      </w:r>
    </w:p>
    <w:p w14:paraId="5C82858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法定代表人：李兴春</w:t>
      </w:r>
    </w:p>
    <w:p w14:paraId="164999B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 陈洁</w:t>
      </w:r>
    </w:p>
    <w:p w14:paraId="209B874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客服电话：400-032-5885</w:t>
      </w:r>
    </w:p>
    <w:p w14:paraId="09A1A1A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网址:http://www.leadfund.com.cn/</w:t>
      </w:r>
    </w:p>
    <w:p w14:paraId="18C3955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（15）江苏汇林保大基金销售有限公司</w:t>
      </w:r>
    </w:p>
    <w:p w14:paraId="2244958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lastRenderedPageBreak/>
        <w:t>注册地址：南京市高淳区经济开发区古檀大道47号</w:t>
      </w:r>
    </w:p>
    <w:p w14:paraId="3C2A1A7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办公地址：南京市鼓楼区中山北路2号绿地紫峰大厦2005室</w:t>
      </w:r>
    </w:p>
    <w:p w14:paraId="3647063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法定代表人：吴言林</w:t>
      </w:r>
    </w:p>
    <w:p w14:paraId="5DC5B5B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电话：025-66046166转849  </w:t>
      </w:r>
    </w:p>
    <w:p w14:paraId="04D9B3A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传真：025-56878016  </w:t>
      </w:r>
    </w:p>
    <w:p w14:paraId="2ECDFD0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网址：http://www.huilinbd.com</w:t>
      </w:r>
    </w:p>
    <w:p w14:paraId="2F7032C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（16）京东肯特瑞基金销售有限公司</w:t>
      </w:r>
    </w:p>
    <w:p w14:paraId="7E59029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注册地址：北京市海淀区西三旗建材城中路12号17号平房157</w:t>
      </w:r>
    </w:p>
    <w:p w14:paraId="37C43B56"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办公地址：北京市亦</w:t>
      </w:r>
      <w:proofErr w:type="gramStart"/>
      <w:r>
        <w:rPr>
          <w:rFonts w:ascii="宋体" w:hAnsi="宋体" w:hint="eastAsia"/>
          <w:bCs/>
          <w:szCs w:val="21"/>
        </w:rPr>
        <w:t>庄经济开发区科创</w:t>
      </w:r>
      <w:proofErr w:type="gramEnd"/>
      <w:r>
        <w:rPr>
          <w:rFonts w:ascii="宋体" w:hAnsi="宋体" w:hint="eastAsia"/>
          <w:bCs/>
          <w:szCs w:val="21"/>
        </w:rPr>
        <w:t>十一街18号院A座</w:t>
      </w:r>
    </w:p>
    <w:p w14:paraId="7E2510C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法定代表人：王苏宁</w:t>
      </w:r>
    </w:p>
    <w:p w14:paraId="6F02A25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电话：400 098 8511 (个人业务)</w:t>
      </w:r>
    </w:p>
    <w:p w14:paraId="531C1A4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网址:http://www.kenterui.jd.com/</w:t>
      </w:r>
    </w:p>
    <w:p w14:paraId="782A360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7</w:t>
      </w:r>
      <w:r>
        <w:rPr>
          <w:rFonts w:ascii="宋体" w:hAnsi="宋体" w:hint="eastAsia"/>
          <w:bCs/>
          <w:szCs w:val="21"/>
        </w:rPr>
        <w:t>）</w:t>
      </w:r>
      <w:proofErr w:type="gramStart"/>
      <w:r>
        <w:rPr>
          <w:rFonts w:ascii="宋体" w:hAnsi="宋体" w:hint="eastAsia"/>
          <w:bCs/>
          <w:szCs w:val="21"/>
        </w:rPr>
        <w:t>和耕传承</w:t>
      </w:r>
      <w:proofErr w:type="gramEnd"/>
      <w:r>
        <w:rPr>
          <w:rFonts w:ascii="宋体" w:hAnsi="宋体" w:hint="eastAsia"/>
          <w:bCs/>
          <w:szCs w:val="21"/>
        </w:rPr>
        <w:t>基金销售有限公司</w:t>
      </w:r>
    </w:p>
    <w:p w14:paraId="0667382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注册地址：河南自贸试验区郑州片区（郑东）东风南路东康宁街北6号楼5楼503</w:t>
      </w:r>
    </w:p>
    <w:p w14:paraId="40E318F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办公地址：河南自贸试验区郑州片区（郑东）东风南路东康宁街北6号楼5楼503</w:t>
      </w:r>
    </w:p>
    <w:p w14:paraId="6340ECC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法定代表人：温丽燕</w:t>
      </w:r>
    </w:p>
    <w:p w14:paraId="4CC7971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电话：0371-85518396</w:t>
      </w:r>
    </w:p>
    <w:p w14:paraId="1FFBDAD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传真：0371-85518397</w:t>
      </w:r>
    </w:p>
    <w:p w14:paraId="1C075E9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网址:http://www.hgccpb.com</w:t>
      </w:r>
    </w:p>
    <w:p w14:paraId="61C5BE8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8</w:t>
      </w:r>
      <w:r>
        <w:rPr>
          <w:rFonts w:ascii="宋体" w:hAnsi="宋体" w:hint="eastAsia"/>
          <w:bCs/>
          <w:szCs w:val="21"/>
        </w:rPr>
        <w:t>）东方财富证券股份有限公司</w:t>
      </w:r>
    </w:p>
    <w:p w14:paraId="7A2BD0F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注册地址：西藏自治区拉萨市柳梧新区国际总部城10栋楼</w:t>
      </w:r>
    </w:p>
    <w:p w14:paraId="7DFC2782"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办公地址：上海市徐汇区宛平南路88号东方财富大厦</w:t>
      </w:r>
    </w:p>
    <w:p w14:paraId="4D84A4A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法定代表人：戴彦</w:t>
      </w:r>
    </w:p>
    <w:p w14:paraId="74AC9EC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电话：021-23586583</w:t>
      </w:r>
    </w:p>
    <w:p w14:paraId="1D5561BD"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传真：021-23586860</w:t>
      </w:r>
    </w:p>
    <w:p w14:paraId="6F9350E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网址：http://www.xzsec.com/</w:t>
      </w:r>
    </w:p>
    <w:p w14:paraId="01944F9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9</w:t>
      </w:r>
      <w:r>
        <w:rPr>
          <w:rFonts w:ascii="宋体" w:hAnsi="宋体" w:hint="eastAsia"/>
          <w:bCs/>
          <w:szCs w:val="21"/>
        </w:rPr>
        <w:t>）湘财证券股份有限公司</w:t>
      </w:r>
    </w:p>
    <w:p w14:paraId="31BE366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注册地址：湖南省长沙市天心区湘府中路1</w:t>
      </w:r>
      <w:r>
        <w:rPr>
          <w:rFonts w:ascii="宋体" w:hAnsi="宋体"/>
          <w:bCs/>
          <w:szCs w:val="21"/>
        </w:rPr>
        <w:t>98</w:t>
      </w:r>
      <w:r>
        <w:rPr>
          <w:rFonts w:ascii="宋体" w:hAnsi="宋体" w:hint="eastAsia"/>
          <w:bCs/>
          <w:szCs w:val="21"/>
        </w:rPr>
        <w:t>号新南城商务中心A栋1</w:t>
      </w:r>
      <w:r>
        <w:rPr>
          <w:rFonts w:ascii="宋体" w:hAnsi="宋体"/>
          <w:bCs/>
          <w:szCs w:val="21"/>
        </w:rPr>
        <w:t>1</w:t>
      </w:r>
      <w:r>
        <w:rPr>
          <w:rFonts w:ascii="宋体" w:hAnsi="宋体" w:hint="eastAsia"/>
          <w:bCs/>
          <w:szCs w:val="21"/>
        </w:rPr>
        <w:t>楼</w:t>
      </w:r>
    </w:p>
    <w:p w14:paraId="6939485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办公地址：湖南省长沙市天心区湘府中路198号新南城商务中心A栋11楼</w:t>
      </w:r>
    </w:p>
    <w:p w14:paraId="5598DE73"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法定代表人：高振营</w:t>
      </w:r>
    </w:p>
    <w:p w14:paraId="649AC3C8"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电话：9</w:t>
      </w:r>
      <w:r>
        <w:rPr>
          <w:rFonts w:ascii="宋体" w:hAnsi="宋体"/>
          <w:bCs/>
          <w:szCs w:val="21"/>
        </w:rPr>
        <w:t>5351</w:t>
      </w:r>
    </w:p>
    <w:p w14:paraId="2055BFF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w:t>
      </w:r>
      <w:r>
        <w:rPr>
          <w:rFonts w:ascii="宋体" w:hAnsi="宋体"/>
          <w:bCs/>
          <w:szCs w:val="21"/>
        </w:rPr>
        <w:t>21-68865680</w:t>
      </w:r>
    </w:p>
    <w:p w14:paraId="14B2980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网址：https://www.xcsc.com/</w:t>
      </w:r>
    </w:p>
    <w:p w14:paraId="227E7BC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0</w:t>
      </w:r>
      <w:r>
        <w:rPr>
          <w:rFonts w:ascii="宋体" w:hAnsi="宋体" w:hint="eastAsia"/>
          <w:bCs/>
          <w:szCs w:val="21"/>
        </w:rPr>
        <w:t>）通华财富（上海）基金销售有限公司</w:t>
      </w:r>
    </w:p>
    <w:p w14:paraId="695FBFE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lastRenderedPageBreak/>
        <w:t>注册地址：上海市浦东新区</w:t>
      </w:r>
      <w:proofErr w:type="gramStart"/>
      <w:r>
        <w:rPr>
          <w:rFonts w:ascii="宋体" w:hAnsi="宋体" w:hint="eastAsia"/>
          <w:bCs/>
          <w:szCs w:val="21"/>
        </w:rPr>
        <w:t>金沪路55号</w:t>
      </w:r>
      <w:proofErr w:type="gramEnd"/>
      <w:r>
        <w:rPr>
          <w:rFonts w:ascii="宋体" w:hAnsi="宋体" w:hint="eastAsia"/>
          <w:bCs/>
          <w:szCs w:val="21"/>
        </w:rPr>
        <w:t>通华科技大厦10层</w:t>
      </w:r>
    </w:p>
    <w:p w14:paraId="19522B1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法定代表人：沈丹义</w:t>
      </w:r>
    </w:p>
    <w:p w14:paraId="004B8B8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 95193</w:t>
      </w:r>
    </w:p>
    <w:p w14:paraId="6D33F3F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网址：https://www.tonghuafund.com/</w:t>
      </w:r>
    </w:p>
    <w:p w14:paraId="7D23EAC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1</w:t>
      </w:r>
      <w:r>
        <w:rPr>
          <w:rFonts w:ascii="宋体" w:hAnsi="宋体" w:hint="eastAsia"/>
          <w:bCs/>
          <w:szCs w:val="21"/>
        </w:rPr>
        <w:t>）北京度小满基金销售有限公司</w:t>
      </w:r>
    </w:p>
    <w:p w14:paraId="65F1DF0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注册地址：北京市海淀区西北旺东路10号院西区4号楼1层103室</w:t>
      </w:r>
    </w:p>
    <w:p w14:paraId="0B06058F"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办公地址：北京市海淀区西北旺东路10号院西区4号楼</w:t>
      </w:r>
    </w:p>
    <w:p w14:paraId="010FF5A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法定代表人：葛新</w:t>
      </w:r>
    </w:p>
    <w:p w14:paraId="5C4FABB5"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联系人：王笑宇</w:t>
      </w:r>
    </w:p>
    <w:p w14:paraId="777B26C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电话:010-59403028</w:t>
      </w:r>
    </w:p>
    <w:p w14:paraId="4A8AA3E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传真：010-59403027</w:t>
      </w:r>
    </w:p>
    <w:p w14:paraId="43BF0DC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网址：https://www.duxiaomanfund.com/</w:t>
      </w:r>
    </w:p>
    <w:p w14:paraId="137FF62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2</w:t>
      </w:r>
      <w:r>
        <w:rPr>
          <w:rFonts w:ascii="宋体" w:hAnsi="宋体" w:hint="eastAsia"/>
          <w:bCs/>
          <w:szCs w:val="21"/>
        </w:rPr>
        <w:t>）上海基</w:t>
      </w:r>
      <w:proofErr w:type="gramStart"/>
      <w:r>
        <w:rPr>
          <w:rFonts w:ascii="宋体" w:hAnsi="宋体" w:hint="eastAsia"/>
          <w:bCs/>
          <w:szCs w:val="21"/>
        </w:rPr>
        <w:t>煜</w:t>
      </w:r>
      <w:proofErr w:type="gramEnd"/>
      <w:r>
        <w:rPr>
          <w:rFonts w:ascii="宋体" w:hAnsi="宋体" w:hint="eastAsia"/>
          <w:bCs/>
          <w:szCs w:val="21"/>
        </w:rPr>
        <w:t>基金销售有限公司</w:t>
      </w:r>
    </w:p>
    <w:p w14:paraId="2F137A8E"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注册地址：上海市黄浦区广东路500号30层3001单元</w:t>
      </w:r>
    </w:p>
    <w:p w14:paraId="1951768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办公地址：上海市浦东</w:t>
      </w:r>
      <w:proofErr w:type="gramStart"/>
      <w:r>
        <w:rPr>
          <w:rFonts w:ascii="宋体" w:hAnsi="宋体" w:hint="eastAsia"/>
          <w:bCs/>
          <w:szCs w:val="21"/>
        </w:rPr>
        <w:t>新区银</w:t>
      </w:r>
      <w:proofErr w:type="gramEnd"/>
      <w:r>
        <w:rPr>
          <w:rFonts w:ascii="宋体" w:hAnsi="宋体" w:hint="eastAsia"/>
          <w:bCs/>
          <w:szCs w:val="21"/>
        </w:rPr>
        <w:t>城中路488号太平金融大厦1503室</w:t>
      </w:r>
    </w:p>
    <w:p w14:paraId="653BC8F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法人代表：王翔</w:t>
      </w:r>
    </w:p>
    <w:p w14:paraId="41999BF9"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联系人员：俞申莉</w:t>
      </w:r>
    </w:p>
    <w:p w14:paraId="3D017D0B"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联系电话：021-65370077</w:t>
      </w:r>
    </w:p>
    <w:p w14:paraId="7D26E3D0"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传真电话：021-55085991</w:t>
      </w:r>
    </w:p>
    <w:p w14:paraId="57FE941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客服电话：400-820-5369</w:t>
      </w:r>
    </w:p>
    <w:p w14:paraId="5C83A44C"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公司网站：</w:t>
      </w:r>
      <w:hyperlink r:id="rId13" w:history="1">
        <w:r>
          <w:rPr>
            <w:rFonts w:ascii="宋体" w:hAnsi="宋体" w:hint="eastAsia"/>
            <w:bCs/>
            <w:szCs w:val="21"/>
          </w:rPr>
          <w:t>http://www.fofund.com.cn</w:t>
        </w:r>
      </w:hyperlink>
    </w:p>
    <w:p w14:paraId="4142DA11"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（23）上海好买基金销售有限公司</w:t>
      </w:r>
    </w:p>
    <w:p w14:paraId="3CB48B9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注册地址：上海市虹口区东大名路501号6211单元</w:t>
      </w:r>
    </w:p>
    <w:p w14:paraId="755B789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办公地址：上海市虹口区</w:t>
      </w:r>
      <w:proofErr w:type="gramStart"/>
      <w:r>
        <w:rPr>
          <w:rFonts w:ascii="宋体" w:hAnsi="宋体" w:hint="eastAsia"/>
          <w:bCs/>
          <w:szCs w:val="21"/>
        </w:rPr>
        <w:t>欧阳路</w:t>
      </w:r>
      <w:proofErr w:type="gramEnd"/>
      <w:r>
        <w:rPr>
          <w:rFonts w:ascii="宋体" w:hAnsi="宋体" w:hint="eastAsia"/>
          <w:bCs/>
          <w:szCs w:val="21"/>
        </w:rPr>
        <w:t>196号26号楼2楼</w:t>
      </w:r>
    </w:p>
    <w:p w14:paraId="512E322A"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法定代表人：杨文斌</w:t>
      </w:r>
    </w:p>
    <w:p w14:paraId="74475217"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联系电话：400-700-9665</w:t>
      </w:r>
    </w:p>
    <w:p w14:paraId="6F253E94" w14:textId="77777777" w:rsidR="00706097" w:rsidRDefault="00DA6858">
      <w:pPr>
        <w:tabs>
          <w:tab w:val="left" w:pos="961"/>
        </w:tabs>
        <w:snapToGrid w:val="0"/>
        <w:spacing w:line="360" w:lineRule="auto"/>
        <w:ind w:firstLineChars="200" w:firstLine="420"/>
        <w:rPr>
          <w:rFonts w:ascii="宋体" w:hAnsi="宋体"/>
          <w:bCs/>
          <w:szCs w:val="21"/>
        </w:rPr>
      </w:pPr>
      <w:r>
        <w:rPr>
          <w:rFonts w:ascii="宋体" w:hAnsi="宋体" w:hint="eastAsia"/>
          <w:bCs/>
          <w:szCs w:val="21"/>
        </w:rPr>
        <w:t xml:space="preserve">网址：www.howbuy.com </w:t>
      </w:r>
    </w:p>
    <w:p w14:paraId="427C7400" w14:textId="77777777" w:rsidR="00356148" w:rsidRPr="00356148" w:rsidRDefault="00356148" w:rsidP="00356148">
      <w:pPr>
        <w:shd w:val="clear" w:color="auto" w:fill="FFFFFF"/>
        <w:spacing w:line="360" w:lineRule="auto"/>
        <w:ind w:firstLineChars="200" w:firstLine="420"/>
        <w:rPr>
          <w:rFonts w:ascii="宋体" w:hAnsi="宋体" w:cs="Calibri"/>
          <w:color w:val="000000"/>
          <w:kern w:val="0"/>
          <w:szCs w:val="21"/>
        </w:rPr>
      </w:pPr>
      <w:r w:rsidRPr="00356148">
        <w:rPr>
          <w:rFonts w:ascii="宋体" w:hAnsi="宋体" w:cs="Calibri" w:hint="eastAsia"/>
          <w:color w:val="000000"/>
          <w:szCs w:val="21"/>
        </w:rPr>
        <w:t>（24）联储证券股份有限公司</w:t>
      </w:r>
    </w:p>
    <w:p w14:paraId="3B7AF5E6"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注册地址：山东省青岛市崂山区苗岭路15号金融中心大厦15层</w:t>
      </w:r>
    </w:p>
    <w:p w14:paraId="7738407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办公地址：山东省青岛市崂山区苗岭路15号金融中心大厦15层</w:t>
      </w:r>
    </w:p>
    <w:p w14:paraId="440EBD46"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法定代表人：吕春卫</w:t>
      </w:r>
    </w:p>
    <w:p w14:paraId="047FF363"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联系电话：956006</w:t>
      </w:r>
    </w:p>
    <w:p w14:paraId="3BA8BEF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网址：</w:t>
      </w:r>
      <w:hyperlink r:id="rId14" w:history="1">
        <w:r w:rsidRPr="00356148">
          <w:rPr>
            <w:rStyle w:val="afff2"/>
            <w:rFonts w:ascii="宋体" w:hAnsi="宋体" w:cs="Calibri"/>
            <w:szCs w:val="21"/>
          </w:rPr>
          <w:t>www.lczq.com</w:t>
        </w:r>
      </w:hyperlink>
      <w:r w:rsidRPr="00356148">
        <w:rPr>
          <w:rFonts w:ascii="宋体" w:hAnsi="宋体" w:cs="Calibri"/>
          <w:color w:val="000000"/>
          <w:szCs w:val="21"/>
        </w:rPr>
        <w:t> </w:t>
      </w:r>
    </w:p>
    <w:p w14:paraId="53B38EDB" w14:textId="77777777" w:rsidR="00356148" w:rsidRPr="00356148" w:rsidRDefault="00356148" w:rsidP="00356148">
      <w:pPr>
        <w:shd w:val="clear" w:color="auto" w:fill="FFFFFF"/>
        <w:spacing w:line="360" w:lineRule="auto"/>
        <w:ind w:leftChars="202" w:left="424"/>
        <w:rPr>
          <w:rFonts w:ascii="宋体" w:hAnsi="宋体" w:cs="宋体"/>
          <w:color w:val="000000"/>
          <w:szCs w:val="21"/>
        </w:rPr>
      </w:pPr>
      <w:r w:rsidRPr="00356148">
        <w:rPr>
          <w:rFonts w:ascii="宋体" w:hAnsi="宋体" w:hint="eastAsia"/>
          <w:color w:val="000000"/>
          <w:szCs w:val="21"/>
        </w:rPr>
        <w:lastRenderedPageBreak/>
        <w:t>（25）德邦证券股份有限公司</w:t>
      </w:r>
    </w:p>
    <w:p w14:paraId="2A7C4213" w14:textId="77777777" w:rsidR="00356148" w:rsidRPr="00356148" w:rsidRDefault="00356148" w:rsidP="00356148">
      <w:pPr>
        <w:shd w:val="clear" w:color="auto" w:fill="FFFFFF"/>
        <w:spacing w:line="360" w:lineRule="auto"/>
        <w:ind w:leftChars="202" w:left="424"/>
        <w:rPr>
          <w:rFonts w:ascii="宋体" w:hAnsi="宋体"/>
          <w:color w:val="000000"/>
          <w:szCs w:val="21"/>
        </w:rPr>
      </w:pPr>
      <w:r w:rsidRPr="00356148">
        <w:rPr>
          <w:rFonts w:ascii="宋体" w:hAnsi="宋体" w:hint="eastAsia"/>
          <w:color w:val="000000"/>
          <w:szCs w:val="21"/>
        </w:rPr>
        <w:t>注册地址：上海市普陀区曹杨路 510 号南半幢 9 楼 </w:t>
      </w:r>
    </w:p>
    <w:p w14:paraId="7BFF968F" w14:textId="77777777" w:rsidR="00356148" w:rsidRPr="00356148" w:rsidRDefault="00356148" w:rsidP="00356148">
      <w:pPr>
        <w:shd w:val="clear" w:color="auto" w:fill="FFFFFF"/>
        <w:spacing w:line="360" w:lineRule="auto"/>
        <w:ind w:leftChars="202" w:left="424"/>
        <w:rPr>
          <w:rFonts w:ascii="宋体" w:hAnsi="宋体"/>
          <w:color w:val="000000"/>
          <w:szCs w:val="21"/>
        </w:rPr>
      </w:pPr>
      <w:r w:rsidRPr="00356148">
        <w:rPr>
          <w:rFonts w:ascii="宋体" w:hAnsi="宋体" w:hint="eastAsia"/>
          <w:color w:val="000000"/>
          <w:szCs w:val="21"/>
        </w:rPr>
        <w:t>办公地址：上海市福山路 500 号城建国际中心 26 楼 </w:t>
      </w:r>
    </w:p>
    <w:p w14:paraId="173FECFB" w14:textId="77777777" w:rsidR="00356148" w:rsidRPr="00356148" w:rsidRDefault="00356148" w:rsidP="00356148">
      <w:pPr>
        <w:shd w:val="clear" w:color="auto" w:fill="FFFFFF"/>
        <w:spacing w:line="360" w:lineRule="auto"/>
        <w:ind w:leftChars="202" w:left="424"/>
        <w:rPr>
          <w:rFonts w:ascii="宋体" w:hAnsi="宋体"/>
          <w:color w:val="000000"/>
          <w:szCs w:val="21"/>
        </w:rPr>
      </w:pPr>
      <w:r w:rsidRPr="00356148">
        <w:rPr>
          <w:rFonts w:ascii="宋体" w:hAnsi="宋体" w:hint="eastAsia"/>
          <w:color w:val="000000"/>
          <w:szCs w:val="21"/>
        </w:rPr>
        <w:t>法定代表人：</w:t>
      </w:r>
      <w:proofErr w:type="gramStart"/>
      <w:r w:rsidRPr="00356148">
        <w:rPr>
          <w:rFonts w:ascii="宋体" w:hAnsi="宋体" w:hint="eastAsia"/>
          <w:color w:val="000000"/>
          <w:szCs w:val="21"/>
        </w:rPr>
        <w:t>武晓春</w:t>
      </w:r>
      <w:proofErr w:type="gramEnd"/>
      <w:r w:rsidRPr="00356148">
        <w:rPr>
          <w:rFonts w:ascii="宋体" w:hAnsi="宋体" w:hint="eastAsia"/>
          <w:color w:val="000000"/>
          <w:szCs w:val="21"/>
        </w:rPr>
        <w:t> </w:t>
      </w:r>
    </w:p>
    <w:p w14:paraId="0A730492" w14:textId="77777777" w:rsidR="00356148" w:rsidRPr="00356148" w:rsidRDefault="00356148" w:rsidP="00356148">
      <w:pPr>
        <w:shd w:val="clear" w:color="auto" w:fill="FFFFFF"/>
        <w:spacing w:line="360" w:lineRule="auto"/>
        <w:ind w:leftChars="202" w:left="424"/>
        <w:rPr>
          <w:rFonts w:ascii="宋体" w:hAnsi="宋体"/>
          <w:color w:val="000000"/>
          <w:szCs w:val="21"/>
        </w:rPr>
      </w:pPr>
      <w:r w:rsidRPr="00356148">
        <w:rPr>
          <w:rFonts w:ascii="宋体" w:hAnsi="宋体" w:hint="eastAsia"/>
          <w:color w:val="000000"/>
          <w:szCs w:val="21"/>
        </w:rPr>
        <w:t>客</w:t>
      </w:r>
      <w:proofErr w:type="gramStart"/>
      <w:r w:rsidRPr="00356148">
        <w:rPr>
          <w:rFonts w:ascii="宋体" w:hAnsi="宋体" w:hint="eastAsia"/>
          <w:color w:val="000000"/>
          <w:szCs w:val="21"/>
        </w:rPr>
        <w:t>服电话</w:t>
      </w:r>
      <w:proofErr w:type="gramEnd"/>
      <w:r w:rsidRPr="00356148">
        <w:rPr>
          <w:rFonts w:ascii="宋体" w:hAnsi="宋体" w:hint="eastAsia"/>
          <w:color w:val="000000"/>
          <w:szCs w:val="21"/>
        </w:rPr>
        <w:t>: 95353 </w:t>
      </w:r>
    </w:p>
    <w:p w14:paraId="79830F08" w14:textId="77777777" w:rsidR="00356148" w:rsidRPr="00356148" w:rsidRDefault="00356148" w:rsidP="00356148">
      <w:pPr>
        <w:shd w:val="clear" w:color="auto" w:fill="FFFFFF"/>
        <w:spacing w:line="360" w:lineRule="auto"/>
        <w:ind w:leftChars="202" w:left="424"/>
        <w:rPr>
          <w:rFonts w:ascii="宋体" w:hAnsi="宋体"/>
          <w:color w:val="000000"/>
          <w:szCs w:val="21"/>
        </w:rPr>
      </w:pPr>
      <w:r w:rsidRPr="00356148">
        <w:rPr>
          <w:rFonts w:ascii="宋体" w:hAnsi="宋体" w:hint="eastAsia"/>
          <w:color w:val="000000"/>
          <w:szCs w:val="21"/>
        </w:rPr>
        <w:t>网址: www.tebon.com.cn</w:t>
      </w:r>
    </w:p>
    <w:p w14:paraId="33E49660"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（26）南京苏宁基金销售有限公司</w:t>
      </w:r>
    </w:p>
    <w:p w14:paraId="6369AD13"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注册地址：南京市玄武区苏宁大道1-5号</w:t>
      </w:r>
    </w:p>
    <w:p w14:paraId="6821A7B0"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办公地址：南京市玄武区苏宁大道1-5号</w:t>
      </w:r>
    </w:p>
    <w:p w14:paraId="6E2AF974"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法定代表人：</w:t>
      </w:r>
      <w:proofErr w:type="gramStart"/>
      <w:r w:rsidRPr="00356148">
        <w:rPr>
          <w:rFonts w:ascii="宋体" w:hAnsi="宋体" w:cs="Calibri" w:hint="eastAsia"/>
          <w:color w:val="000000"/>
          <w:szCs w:val="21"/>
        </w:rPr>
        <w:t>钱燕飞</w:t>
      </w:r>
      <w:proofErr w:type="gramEnd"/>
    </w:p>
    <w:p w14:paraId="01B0D446"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联系电话：95177</w:t>
      </w:r>
    </w:p>
    <w:p w14:paraId="77CC4217"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网址：www.snjijin.com  </w:t>
      </w:r>
    </w:p>
    <w:p w14:paraId="72106331"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（27）</w:t>
      </w:r>
      <w:proofErr w:type="gramStart"/>
      <w:r w:rsidRPr="00356148">
        <w:rPr>
          <w:rFonts w:ascii="宋体" w:hAnsi="宋体" w:cs="Calibri"/>
          <w:color w:val="000000"/>
          <w:szCs w:val="21"/>
        </w:rPr>
        <w:t>玄元保险</w:t>
      </w:r>
      <w:proofErr w:type="gramEnd"/>
      <w:r w:rsidRPr="00356148">
        <w:rPr>
          <w:rFonts w:ascii="宋体" w:hAnsi="宋体" w:cs="Calibri"/>
          <w:color w:val="000000"/>
          <w:szCs w:val="21"/>
        </w:rPr>
        <w:t>代理有限公司 </w:t>
      </w:r>
    </w:p>
    <w:p w14:paraId="79BA42DD"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注册地址：中国(上海)自由贸易试验区张杨路707号1105室 </w:t>
      </w:r>
    </w:p>
    <w:p w14:paraId="79A4000F"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办公地址：中国(上海)自由贸易试验区张杨路707号1105室 </w:t>
      </w:r>
    </w:p>
    <w:p w14:paraId="23A32F52"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法定代表人：马永谙 </w:t>
      </w:r>
    </w:p>
    <w:p w14:paraId="465B179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联系电话：021-50701003</w:t>
      </w:r>
    </w:p>
    <w:p w14:paraId="2FA585B4"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网址：https://www.licaimofang.cn </w:t>
      </w:r>
    </w:p>
    <w:p w14:paraId="7C070F8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（28）宁波银行股份有限公司</w:t>
      </w:r>
    </w:p>
    <w:p w14:paraId="35EC60CD"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注册地址：浙江省宁波市</w:t>
      </w:r>
      <w:proofErr w:type="gramStart"/>
      <w:r w:rsidRPr="00356148">
        <w:rPr>
          <w:rFonts w:ascii="宋体" w:hAnsi="宋体" w:cs="Calibri" w:hint="eastAsia"/>
          <w:color w:val="000000"/>
          <w:szCs w:val="21"/>
        </w:rPr>
        <w:t>鄞</w:t>
      </w:r>
      <w:proofErr w:type="gramEnd"/>
      <w:r w:rsidRPr="00356148">
        <w:rPr>
          <w:rFonts w:ascii="宋体" w:hAnsi="宋体" w:cs="Calibri" w:hint="eastAsia"/>
          <w:color w:val="000000"/>
          <w:szCs w:val="21"/>
        </w:rPr>
        <w:t>州区宁东路345号</w:t>
      </w:r>
    </w:p>
    <w:p w14:paraId="484A6486"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办公地址：浙江省宁波市</w:t>
      </w:r>
      <w:proofErr w:type="gramStart"/>
      <w:r w:rsidRPr="00356148">
        <w:rPr>
          <w:rFonts w:ascii="宋体" w:hAnsi="宋体" w:cs="Calibri" w:hint="eastAsia"/>
          <w:color w:val="000000"/>
          <w:szCs w:val="21"/>
        </w:rPr>
        <w:t>鄞</w:t>
      </w:r>
      <w:proofErr w:type="gramEnd"/>
      <w:r w:rsidRPr="00356148">
        <w:rPr>
          <w:rFonts w:ascii="宋体" w:hAnsi="宋体" w:cs="Calibri" w:hint="eastAsia"/>
          <w:color w:val="000000"/>
          <w:szCs w:val="21"/>
        </w:rPr>
        <w:t>州区宁东路345号</w:t>
      </w:r>
    </w:p>
    <w:p w14:paraId="68FF5087"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法定代表人：陆华裕</w:t>
      </w:r>
    </w:p>
    <w:p w14:paraId="25C141CE"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联系电话：95574</w:t>
      </w:r>
    </w:p>
    <w:p w14:paraId="020651D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网址：www.nbcb.com.cn</w:t>
      </w:r>
    </w:p>
    <w:p w14:paraId="477F061D"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（29）诺亚正</w:t>
      </w:r>
      <w:proofErr w:type="gramStart"/>
      <w:r w:rsidRPr="00356148">
        <w:rPr>
          <w:rFonts w:ascii="宋体" w:hAnsi="宋体" w:cs="Calibri" w:hint="eastAsia"/>
          <w:color w:val="000000"/>
          <w:szCs w:val="21"/>
        </w:rPr>
        <w:t>行基金</w:t>
      </w:r>
      <w:proofErr w:type="gramEnd"/>
      <w:r w:rsidRPr="00356148">
        <w:rPr>
          <w:rFonts w:ascii="宋体" w:hAnsi="宋体" w:cs="Calibri" w:hint="eastAsia"/>
          <w:color w:val="000000"/>
          <w:szCs w:val="21"/>
        </w:rPr>
        <w:t>销售有限公司</w:t>
      </w:r>
    </w:p>
    <w:p w14:paraId="6F1A7248"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注册地址：上海市虹口区飞虹路360弄9号6层</w:t>
      </w:r>
    </w:p>
    <w:p w14:paraId="649F2CA4"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办公地址：上海市虹口区飞虹路360弄9号6层</w:t>
      </w:r>
    </w:p>
    <w:p w14:paraId="49806C6A"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法定代表人：吴卫国</w:t>
      </w:r>
    </w:p>
    <w:p w14:paraId="5ECBFA5E"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hint="eastAsia"/>
          <w:color w:val="000000"/>
          <w:szCs w:val="21"/>
        </w:rPr>
        <w:t>联系电话：400-821-5399</w:t>
      </w:r>
    </w:p>
    <w:p w14:paraId="5250DC83" w14:textId="77777777" w:rsidR="00356148" w:rsidRPr="00356148" w:rsidRDefault="00356148" w:rsidP="00356148">
      <w:pPr>
        <w:shd w:val="clear" w:color="auto" w:fill="FFFFFF"/>
        <w:spacing w:line="360" w:lineRule="auto"/>
        <w:ind w:leftChars="202" w:left="424"/>
        <w:rPr>
          <w:rFonts w:ascii="宋体" w:hAnsi="宋体" w:cs="宋体"/>
          <w:color w:val="000000"/>
          <w:szCs w:val="21"/>
        </w:rPr>
      </w:pPr>
      <w:r w:rsidRPr="00356148">
        <w:rPr>
          <w:rFonts w:ascii="宋体" w:hAnsi="宋体" w:hint="eastAsia"/>
          <w:color w:val="000000"/>
          <w:szCs w:val="21"/>
        </w:rPr>
        <w:t>网址：</w:t>
      </w:r>
      <w:hyperlink r:id="rId15" w:history="1">
        <w:r w:rsidRPr="00356148">
          <w:rPr>
            <w:rStyle w:val="afff2"/>
            <w:rFonts w:ascii="宋体" w:hAnsi="宋体" w:cs="Calibri"/>
            <w:szCs w:val="21"/>
          </w:rPr>
          <w:t>www.noah-fund.com</w:t>
        </w:r>
      </w:hyperlink>
      <w:r w:rsidRPr="00356148">
        <w:rPr>
          <w:rFonts w:ascii="宋体" w:hAnsi="宋体" w:cs="Calibri"/>
          <w:color w:val="000000"/>
          <w:szCs w:val="21"/>
        </w:rPr>
        <w:t> </w:t>
      </w:r>
    </w:p>
    <w:p w14:paraId="03286ACE"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lastRenderedPageBreak/>
        <w:t>（30）上海联泰基金销售有限公司 </w:t>
      </w:r>
    </w:p>
    <w:p w14:paraId="409612D0"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注册地址：中国（上海）自由贸易试验区富特北路 277 号 3 层 310 室 </w:t>
      </w:r>
    </w:p>
    <w:p w14:paraId="585C9552"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办公地址：上海市长宁区福泉北路 518 号 8 座 3 层 </w:t>
      </w:r>
    </w:p>
    <w:p w14:paraId="72D960E0"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法定代表人：：</w:t>
      </w:r>
      <w:proofErr w:type="gramStart"/>
      <w:r w:rsidRPr="00356148">
        <w:rPr>
          <w:rFonts w:ascii="宋体" w:hAnsi="宋体" w:cs="Calibri"/>
          <w:color w:val="000000"/>
          <w:szCs w:val="21"/>
        </w:rPr>
        <w:t>尹</w:t>
      </w:r>
      <w:proofErr w:type="gramEnd"/>
      <w:r w:rsidRPr="00356148">
        <w:rPr>
          <w:rFonts w:ascii="宋体" w:hAnsi="宋体" w:cs="Calibri"/>
          <w:color w:val="000000"/>
          <w:szCs w:val="21"/>
        </w:rPr>
        <w:t>彬彬 </w:t>
      </w:r>
    </w:p>
    <w:p w14:paraId="18665568"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客户服务电话：4000-118-1188 </w:t>
      </w:r>
    </w:p>
    <w:p w14:paraId="28E73D24"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网址：www.66liantai.com </w:t>
      </w:r>
    </w:p>
    <w:p w14:paraId="4A21570F"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（31）北京汇成基金销售有限公司</w:t>
      </w:r>
    </w:p>
    <w:p w14:paraId="7C15B123"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 注册地址：北京市西城区宣武门外大街甲1号4层401-2 </w:t>
      </w:r>
    </w:p>
    <w:p w14:paraId="673991FC"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 办公地址：北京市西城区宣武门外大街甲1号4层401-2</w:t>
      </w:r>
    </w:p>
    <w:p w14:paraId="26A25D92"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法定代表人：王伟刚 </w:t>
      </w:r>
    </w:p>
    <w:p w14:paraId="3DEC6888"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联系电话：400-619-9059</w:t>
      </w:r>
    </w:p>
    <w:p w14:paraId="3172EF9E" w14:textId="77777777" w:rsidR="00356148" w:rsidRPr="00356148" w:rsidRDefault="00356148" w:rsidP="00356148">
      <w:pPr>
        <w:shd w:val="clear" w:color="auto" w:fill="FFFFFF"/>
        <w:spacing w:line="360" w:lineRule="auto"/>
        <w:ind w:leftChars="202" w:left="424"/>
        <w:rPr>
          <w:rFonts w:ascii="宋体" w:hAnsi="宋体" w:cs="Calibri"/>
          <w:color w:val="000000"/>
          <w:szCs w:val="21"/>
        </w:rPr>
      </w:pPr>
      <w:r w:rsidRPr="00356148">
        <w:rPr>
          <w:rFonts w:ascii="宋体" w:hAnsi="宋体" w:cs="Calibri"/>
          <w:color w:val="000000"/>
          <w:szCs w:val="21"/>
        </w:rPr>
        <w:t>网址：https://www.hcfunds.com/ </w:t>
      </w:r>
    </w:p>
    <w:p w14:paraId="02DEA848" w14:textId="77777777" w:rsidR="00706097" w:rsidRPr="00356148" w:rsidRDefault="00706097">
      <w:pPr>
        <w:tabs>
          <w:tab w:val="left" w:pos="961"/>
        </w:tabs>
        <w:snapToGrid w:val="0"/>
        <w:spacing w:line="360" w:lineRule="auto"/>
        <w:ind w:firstLineChars="200" w:firstLine="420"/>
        <w:rPr>
          <w:rFonts w:ascii="宋体" w:hAnsi="宋体"/>
          <w:bCs/>
          <w:szCs w:val="21"/>
        </w:rPr>
      </w:pPr>
    </w:p>
    <w:p w14:paraId="32EA9704" w14:textId="77777777" w:rsidR="00706097" w:rsidRDefault="00DA6858">
      <w:pPr>
        <w:autoSpaceDE w:val="0"/>
        <w:autoSpaceDN w:val="0"/>
        <w:adjustRightInd w:val="0"/>
        <w:snapToGrid w:val="0"/>
        <w:spacing w:line="360" w:lineRule="auto"/>
        <w:rPr>
          <w:rFonts w:ascii="宋体" w:hAnsi="宋体"/>
          <w:b/>
          <w:bCs/>
          <w:kern w:val="0"/>
          <w:szCs w:val="20"/>
        </w:rPr>
      </w:pPr>
      <w:r>
        <w:rPr>
          <w:rFonts w:ascii="宋体" w:hAnsi="宋体" w:hint="eastAsia"/>
          <w:b/>
          <w:bCs/>
          <w:kern w:val="0"/>
          <w:szCs w:val="20"/>
        </w:rPr>
        <w:t xml:space="preserve">    二、登记机构</w:t>
      </w:r>
    </w:p>
    <w:p w14:paraId="6CB04B85" w14:textId="77777777" w:rsidR="00706097" w:rsidRDefault="00DA6858">
      <w:pPr>
        <w:tabs>
          <w:tab w:val="left" w:pos="840"/>
        </w:tabs>
        <w:adjustRightInd w:val="0"/>
        <w:snapToGrid w:val="0"/>
        <w:spacing w:line="360" w:lineRule="auto"/>
        <w:ind w:firstLineChars="200" w:firstLine="420"/>
        <w:rPr>
          <w:rFonts w:ascii="宋体" w:hAnsi="宋体"/>
        </w:rPr>
      </w:pPr>
      <w:r>
        <w:rPr>
          <w:rFonts w:ascii="宋体" w:hAnsi="宋体"/>
        </w:rPr>
        <w:t>东海基金管理有限责任公司</w:t>
      </w:r>
    </w:p>
    <w:p w14:paraId="424E20B5"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住所：上海市虹口区丰镇路806号3幢360室</w:t>
      </w:r>
    </w:p>
    <w:p w14:paraId="4A498F1A"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法定代表人：严晓珺</w:t>
      </w:r>
    </w:p>
    <w:p w14:paraId="0303C000"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组织形式：有限责任公司</w:t>
      </w:r>
    </w:p>
    <w:p w14:paraId="41E97486"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注册资本：1.5亿元人民币</w:t>
      </w:r>
    </w:p>
    <w:p w14:paraId="34281F2F"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存续期限：持续经营</w:t>
      </w:r>
    </w:p>
    <w:p w14:paraId="02412B24" w14:textId="77777777" w:rsidR="00706097" w:rsidRDefault="00DA6858">
      <w:pPr>
        <w:adjustRightInd w:val="0"/>
        <w:snapToGrid w:val="0"/>
        <w:spacing w:line="360" w:lineRule="auto"/>
        <w:ind w:firstLineChars="200" w:firstLine="420"/>
        <w:rPr>
          <w:rFonts w:ascii="宋体" w:hAnsi="宋体"/>
          <w:bCs/>
        </w:rPr>
      </w:pPr>
      <w:r>
        <w:rPr>
          <w:rFonts w:ascii="宋体" w:hAnsi="宋体" w:hint="eastAsia"/>
          <w:bCs/>
        </w:rPr>
        <w:t>联系电话：021-60586900</w:t>
      </w:r>
    </w:p>
    <w:p w14:paraId="1920A81F" w14:textId="77777777" w:rsidR="00706097" w:rsidRDefault="00DA6858">
      <w:pPr>
        <w:tabs>
          <w:tab w:val="left" w:pos="840"/>
        </w:tabs>
        <w:adjustRightInd w:val="0"/>
        <w:snapToGrid w:val="0"/>
        <w:spacing w:line="360" w:lineRule="auto"/>
        <w:ind w:firstLineChars="200" w:firstLine="420"/>
        <w:rPr>
          <w:rFonts w:ascii="宋体" w:hAnsi="宋体"/>
        </w:rPr>
      </w:pPr>
      <w:r>
        <w:rPr>
          <w:rFonts w:ascii="宋体" w:hAnsi="宋体"/>
        </w:rPr>
        <w:t xml:space="preserve"> </w:t>
      </w:r>
    </w:p>
    <w:p w14:paraId="14DE6EE7" w14:textId="77777777" w:rsidR="00706097" w:rsidRDefault="00DA6858">
      <w:pPr>
        <w:tabs>
          <w:tab w:val="left" w:pos="840"/>
        </w:tabs>
        <w:adjustRightInd w:val="0"/>
        <w:snapToGrid w:val="0"/>
        <w:spacing w:line="360" w:lineRule="auto"/>
        <w:ind w:firstLineChars="200" w:firstLine="422"/>
        <w:rPr>
          <w:rFonts w:ascii="宋体" w:hAnsi="宋体"/>
          <w:b/>
          <w:bCs/>
        </w:rPr>
      </w:pPr>
      <w:r>
        <w:rPr>
          <w:rFonts w:ascii="宋体" w:hAnsi="宋体"/>
          <w:b/>
          <w:bCs/>
        </w:rPr>
        <w:t>三、</w:t>
      </w:r>
      <w:r>
        <w:rPr>
          <w:rFonts w:hint="eastAsia"/>
          <w:b/>
          <w:bCs/>
        </w:rPr>
        <w:t>出具法律意见书的律师事务所</w:t>
      </w:r>
    </w:p>
    <w:p w14:paraId="345162E5"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名称：上海市通力律师事务所</w:t>
      </w:r>
    </w:p>
    <w:p w14:paraId="314BAFE7"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注册地址：上海市银城中路</w:t>
      </w:r>
      <w:r>
        <w:rPr>
          <w:rFonts w:ascii="宋体" w:hAnsi="宋体"/>
          <w:bCs/>
          <w:szCs w:val="21"/>
        </w:rPr>
        <w:t>68</w:t>
      </w:r>
      <w:r>
        <w:rPr>
          <w:rFonts w:ascii="宋体" w:hAnsi="宋体" w:hint="eastAsia"/>
          <w:bCs/>
          <w:szCs w:val="21"/>
        </w:rPr>
        <w:t>号时代金融中心</w:t>
      </w:r>
      <w:r>
        <w:rPr>
          <w:rFonts w:ascii="宋体" w:hAnsi="宋体"/>
          <w:bCs/>
          <w:szCs w:val="21"/>
        </w:rPr>
        <w:t>19</w:t>
      </w:r>
      <w:r>
        <w:rPr>
          <w:rFonts w:ascii="宋体" w:hAnsi="宋体" w:hint="eastAsia"/>
          <w:bCs/>
          <w:szCs w:val="21"/>
        </w:rPr>
        <w:t>楼</w:t>
      </w:r>
    </w:p>
    <w:p w14:paraId="3FA7FA0C"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负责人：韩炯</w:t>
      </w:r>
    </w:p>
    <w:p w14:paraId="2A3082FD"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联系人：丁媛</w:t>
      </w:r>
    </w:p>
    <w:p w14:paraId="221DFB94"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电话</w:t>
      </w:r>
      <w:r>
        <w:rPr>
          <w:rFonts w:ascii="宋体" w:hAnsi="宋体"/>
          <w:bCs/>
          <w:szCs w:val="21"/>
        </w:rPr>
        <w:t>: (86 21) 3135 8666</w:t>
      </w:r>
    </w:p>
    <w:p w14:paraId="7349242B"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hint="eastAsia"/>
          <w:bCs/>
          <w:szCs w:val="21"/>
        </w:rPr>
        <w:t>传真</w:t>
      </w:r>
      <w:r>
        <w:rPr>
          <w:rFonts w:ascii="宋体" w:hAnsi="宋体"/>
          <w:bCs/>
          <w:szCs w:val="21"/>
        </w:rPr>
        <w:t>: (86 21) 3135 8600</w:t>
      </w:r>
    </w:p>
    <w:p w14:paraId="57FD89CB" w14:textId="77777777" w:rsidR="00706097" w:rsidRDefault="00DA6858">
      <w:pPr>
        <w:tabs>
          <w:tab w:val="left" w:pos="840"/>
        </w:tabs>
        <w:adjustRightInd w:val="0"/>
        <w:snapToGrid w:val="0"/>
        <w:spacing w:line="360" w:lineRule="auto"/>
        <w:ind w:firstLineChars="200" w:firstLine="420"/>
        <w:rPr>
          <w:rFonts w:ascii="宋体" w:hAnsi="宋体"/>
          <w:bCs/>
          <w:szCs w:val="21"/>
        </w:rPr>
      </w:pPr>
      <w:r>
        <w:rPr>
          <w:rFonts w:ascii="宋体" w:hAnsi="宋体"/>
          <w:bCs/>
          <w:szCs w:val="21"/>
        </w:rPr>
        <w:t>经办律师：黎明、</w:t>
      </w:r>
      <w:r>
        <w:rPr>
          <w:rFonts w:ascii="宋体" w:hAnsi="宋体" w:hint="eastAsia"/>
          <w:bCs/>
          <w:szCs w:val="21"/>
        </w:rPr>
        <w:t>丁媛</w:t>
      </w:r>
    </w:p>
    <w:p w14:paraId="349C1A79" w14:textId="77777777" w:rsidR="00706097" w:rsidRDefault="00706097">
      <w:pPr>
        <w:tabs>
          <w:tab w:val="left" w:pos="840"/>
        </w:tabs>
        <w:adjustRightInd w:val="0"/>
        <w:snapToGrid w:val="0"/>
        <w:spacing w:line="360" w:lineRule="auto"/>
        <w:ind w:firstLineChars="200" w:firstLine="420"/>
        <w:rPr>
          <w:rFonts w:ascii="宋体" w:hAnsi="宋体"/>
        </w:rPr>
      </w:pPr>
    </w:p>
    <w:p w14:paraId="63B052BF" w14:textId="77777777" w:rsidR="00706097" w:rsidRDefault="00DA6858">
      <w:pPr>
        <w:autoSpaceDE w:val="0"/>
        <w:autoSpaceDN w:val="0"/>
        <w:adjustRightInd w:val="0"/>
        <w:snapToGrid w:val="0"/>
        <w:spacing w:line="360" w:lineRule="auto"/>
        <w:rPr>
          <w:rFonts w:ascii="宋体" w:hAnsi="宋体"/>
          <w:b/>
          <w:bCs/>
          <w:kern w:val="0"/>
          <w:szCs w:val="20"/>
        </w:rPr>
      </w:pPr>
      <w:r>
        <w:rPr>
          <w:rFonts w:ascii="宋体" w:hAnsi="宋体"/>
          <w:b/>
          <w:bCs/>
          <w:kern w:val="0"/>
          <w:szCs w:val="20"/>
        </w:rPr>
        <w:t xml:space="preserve">    四、</w:t>
      </w:r>
      <w:r>
        <w:rPr>
          <w:rFonts w:ascii="宋体" w:hAnsi="宋体"/>
          <w:b/>
          <w:szCs w:val="21"/>
        </w:rPr>
        <w:t>审计基金财产的会计师事务所</w:t>
      </w:r>
    </w:p>
    <w:p w14:paraId="5BA74D7C"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lastRenderedPageBreak/>
        <w:t>名称：天职国际会计师事务所（特殊普通合伙）</w:t>
      </w:r>
    </w:p>
    <w:p w14:paraId="3C548123"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首席合伙人：邱靖之</w:t>
      </w:r>
    </w:p>
    <w:p w14:paraId="10EAF58F"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住所：北京市海淀区车公庄西路1</w:t>
      </w:r>
      <w:r>
        <w:rPr>
          <w:rFonts w:ascii="宋体" w:hAnsi="宋体"/>
          <w:bCs/>
          <w:color w:val="000000"/>
        </w:rPr>
        <w:t>9</w:t>
      </w:r>
      <w:r>
        <w:rPr>
          <w:rFonts w:ascii="宋体" w:hAnsi="宋体" w:hint="eastAsia"/>
          <w:bCs/>
          <w:color w:val="000000"/>
        </w:rPr>
        <w:t>号6</w:t>
      </w:r>
      <w:r>
        <w:rPr>
          <w:rFonts w:ascii="宋体" w:hAnsi="宋体"/>
          <w:bCs/>
          <w:color w:val="000000"/>
        </w:rPr>
        <w:t>8</w:t>
      </w:r>
      <w:r>
        <w:rPr>
          <w:rFonts w:ascii="宋体" w:hAnsi="宋体" w:hint="eastAsia"/>
          <w:bCs/>
          <w:color w:val="000000"/>
        </w:rPr>
        <w:t>号楼A</w:t>
      </w:r>
      <w:r>
        <w:rPr>
          <w:rFonts w:ascii="宋体" w:hAnsi="宋体"/>
          <w:bCs/>
          <w:color w:val="000000"/>
        </w:rPr>
        <w:t>-1</w:t>
      </w:r>
      <w:r>
        <w:rPr>
          <w:rFonts w:ascii="宋体" w:hAnsi="宋体" w:hint="eastAsia"/>
          <w:bCs/>
          <w:color w:val="000000"/>
        </w:rPr>
        <w:t>和A</w:t>
      </w:r>
      <w:r>
        <w:rPr>
          <w:rFonts w:ascii="宋体" w:hAnsi="宋体"/>
          <w:bCs/>
          <w:color w:val="000000"/>
        </w:rPr>
        <w:t>-5</w:t>
      </w:r>
      <w:r>
        <w:rPr>
          <w:rFonts w:ascii="宋体" w:hAnsi="宋体" w:hint="eastAsia"/>
          <w:bCs/>
          <w:color w:val="000000"/>
        </w:rPr>
        <w:t>区域</w:t>
      </w:r>
    </w:p>
    <w:p w14:paraId="20DB1A43"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办公地址：北京市海淀区车公庄西路19号68号楼A-1和A-5区域</w:t>
      </w:r>
    </w:p>
    <w:p w14:paraId="108B2F5F"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邮政编码：100</w:t>
      </w:r>
      <w:r>
        <w:rPr>
          <w:rFonts w:ascii="宋体" w:hAnsi="宋体"/>
          <w:bCs/>
          <w:color w:val="000000"/>
        </w:rPr>
        <w:t>048</w:t>
      </w:r>
    </w:p>
    <w:p w14:paraId="46A4F760"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公司电话：（010）8</w:t>
      </w:r>
      <w:r>
        <w:rPr>
          <w:rFonts w:ascii="宋体" w:hAnsi="宋体"/>
          <w:bCs/>
          <w:color w:val="000000"/>
        </w:rPr>
        <w:t>8827799</w:t>
      </w:r>
    </w:p>
    <w:p w14:paraId="41B2E9A1"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公司传真：（010）</w:t>
      </w:r>
      <w:r>
        <w:rPr>
          <w:rFonts w:ascii="宋体" w:hAnsi="宋体"/>
          <w:bCs/>
          <w:color w:val="000000"/>
        </w:rPr>
        <w:t>88018737</w:t>
      </w:r>
    </w:p>
    <w:p w14:paraId="07B99178" w14:textId="77777777" w:rsidR="003B4FE0" w:rsidRDefault="003B4FE0" w:rsidP="003B4FE0">
      <w:pPr>
        <w:tabs>
          <w:tab w:val="left" w:pos="840"/>
        </w:tabs>
        <w:adjustRightInd w:val="0"/>
        <w:snapToGrid w:val="0"/>
        <w:spacing w:line="360" w:lineRule="auto"/>
        <w:ind w:firstLineChars="200" w:firstLine="420"/>
        <w:rPr>
          <w:rFonts w:ascii="宋体" w:hAnsi="宋体"/>
          <w:bCs/>
          <w:color w:val="000000"/>
        </w:rPr>
      </w:pPr>
      <w:r>
        <w:rPr>
          <w:rFonts w:ascii="宋体" w:hAnsi="宋体" w:hint="eastAsia"/>
          <w:bCs/>
          <w:color w:val="000000"/>
        </w:rPr>
        <w:t>联系人：</w:t>
      </w:r>
      <w:proofErr w:type="gramStart"/>
      <w:r>
        <w:rPr>
          <w:rFonts w:ascii="宋体" w:hAnsi="宋体" w:hint="eastAsia"/>
          <w:bCs/>
          <w:color w:val="000000"/>
        </w:rPr>
        <w:t>丁启新</w:t>
      </w:r>
      <w:proofErr w:type="gramEnd"/>
    </w:p>
    <w:p w14:paraId="0845B9AA" w14:textId="750E631C" w:rsidR="00706097" w:rsidRDefault="003B4FE0" w:rsidP="003B4FE0">
      <w:pPr>
        <w:tabs>
          <w:tab w:val="left" w:pos="840"/>
        </w:tabs>
        <w:adjustRightInd w:val="0"/>
        <w:snapToGrid w:val="0"/>
        <w:spacing w:line="360" w:lineRule="auto"/>
        <w:ind w:firstLineChars="200" w:firstLine="420"/>
        <w:rPr>
          <w:rFonts w:ascii="宋体" w:hAnsi="宋体"/>
          <w:szCs w:val="23"/>
        </w:rPr>
      </w:pPr>
      <w:r>
        <w:rPr>
          <w:rFonts w:ascii="宋体" w:hAnsi="宋体" w:hint="eastAsia"/>
          <w:bCs/>
          <w:color w:val="000000"/>
        </w:rPr>
        <w:t>经办会计师：</w:t>
      </w:r>
      <w:proofErr w:type="gramStart"/>
      <w:r>
        <w:rPr>
          <w:rFonts w:ascii="宋体" w:hAnsi="宋体" w:hint="eastAsia"/>
          <w:bCs/>
          <w:color w:val="000000"/>
        </w:rPr>
        <w:t>丁启新</w:t>
      </w:r>
      <w:proofErr w:type="gramEnd"/>
      <w:r>
        <w:rPr>
          <w:rFonts w:ascii="宋体" w:hAnsi="宋体" w:hint="eastAsia"/>
          <w:bCs/>
          <w:color w:val="000000"/>
        </w:rPr>
        <w:t>、户永红</w:t>
      </w:r>
      <w:r w:rsidR="00DA6858">
        <w:rPr>
          <w:rFonts w:ascii="宋体" w:hAnsi="宋体"/>
        </w:rPr>
        <w:br w:type="page"/>
      </w:r>
    </w:p>
    <w:p w14:paraId="75F0744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52" w:name="_Toc76483008"/>
      <w:bookmarkStart w:id="53" w:name="_Toc362533455"/>
      <w:bookmarkStart w:id="54" w:name="_Toc362455183"/>
      <w:bookmarkStart w:id="55" w:name="_Toc360793850"/>
      <w:bookmarkStart w:id="56" w:name="_Toc360794100"/>
      <w:bookmarkStart w:id="57" w:name="_Toc360794516"/>
      <w:bookmarkStart w:id="58" w:name="_Toc360794408"/>
      <w:bookmarkStart w:id="59" w:name="_Toc360793498"/>
      <w:r>
        <w:rPr>
          <w:rFonts w:ascii="宋体" w:eastAsia="宋体" w:hAnsi="宋体" w:hint="eastAsia"/>
        </w:rPr>
        <w:lastRenderedPageBreak/>
        <w:t>基金募集</w:t>
      </w:r>
      <w:bookmarkEnd w:id="52"/>
      <w:bookmarkEnd w:id="53"/>
      <w:bookmarkEnd w:id="54"/>
      <w:bookmarkEnd w:id="55"/>
      <w:bookmarkEnd w:id="56"/>
      <w:bookmarkEnd w:id="57"/>
      <w:bookmarkEnd w:id="58"/>
      <w:bookmarkEnd w:id="59"/>
    </w:p>
    <w:p w14:paraId="24AA35CE" w14:textId="77777777" w:rsidR="00706097" w:rsidRDefault="00706097">
      <w:pPr>
        <w:pStyle w:val="34"/>
        <w:snapToGrid w:val="0"/>
        <w:spacing w:line="360" w:lineRule="auto"/>
        <w:ind w:firstLineChars="200" w:firstLine="420"/>
        <w:rPr>
          <w:rFonts w:hAnsi="宋体" w:hint="default"/>
          <w:sz w:val="21"/>
          <w:szCs w:val="21"/>
        </w:rPr>
      </w:pPr>
    </w:p>
    <w:p w14:paraId="30DEE5E5"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本基金由基金管理人依照《基金法》、《运作办法》、《销售办法》、</w:t>
      </w:r>
      <w:r>
        <w:rPr>
          <w:rFonts w:hAnsi="宋体"/>
          <w:bCs/>
          <w:sz w:val="21"/>
          <w:szCs w:val="21"/>
        </w:rPr>
        <w:t>《流动性风险管理规定》、</w:t>
      </w:r>
      <w:r>
        <w:rPr>
          <w:rFonts w:hAnsi="宋体"/>
          <w:sz w:val="21"/>
          <w:szCs w:val="21"/>
        </w:rPr>
        <w:t>基金合同及其他有关规定，并经中国证监会2019年11月25日证监许可【2019】2494号</w:t>
      </w:r>
      <w:proofErr w:type="gramStart"/>
      <w:r>
        <w:rPr>
          <w:rFonts w:hAnsi="宋体"/>
          <w:sz w:val="21"/>
          <w:szCs w:val="21"/>
        </w:rPr>
        <w:t>文注册</w:t>
      </w:r>
      <w:proofErr w:type="gramEnd"/>
      <w:r>
        <w:rPr>
          <w:rFonts w:hAnsi="宋体"/>
          <w:sz w:val="21"/>
          <w:szCs w:val="21"/>
        </w:rPr>
        <w:t>募集。</w:t>
      </w:r>
    </w:p>
    <w:p w14:paraId="722655A9" w14:textId="77777777" w:rsidR="00706097" w:rsidRDefault="00DA6858">
      <w:pPr>
        <w:snapToGrid w:val="0"/>
        <w:spacing w:line="360" w:lineRule="auto"/>
        <w:ind w:firstLineChars="200" w:firstLine="420"/>
        <w:rPr>
          <w:rFonts w:ascii="宋体" w:hAnsi="宋体"/>
          <w:bCs/>
        </w:rPr>
      </w:pPr>
      <w:r>
        <w:rPr>
          <w:rFonts w:ascii="宋体" w:hAnsi="宋体"/>
          <w:szCs w:val="21"/>
        </w:rPr>
        <w:t>本基金为契约型开放式基金</w:t>
      </w:r>
      <w:r>
        <w:rPr>
          <w:rFonts w:ascii="宋体" w:hAnsi="宋体" w:hint="eastAsia"/>
          <w:szCs w:val="21"/>
        </w:rPr>
        <w:t>、债券型</w:t>
      </w:r>
      <w:r>
        <w:rPr>
          <w:rFonts w:ascii="宋体" w:hAnsi="宋体"/>
          <w:szCs w:val="21"/>
        </w:rPr>
        <w:t>证券投资基金。基金存续期限为不定期</w:t>
      </w:r>
      <w:r>
        <w:rPr>
          <w:rFonts w:ascii="宋体" w:hAnsi="宋体" w:hint="eastAsia"/>
          <w:bCs/>
        </w:rPr>
        <w:t>。</w:t>
      </w:r>
    </w:p>
    <w:p w14:paraId="43B11B92" w14:textId="77777777" w:rsidR="00706097" w:rsidRDefault="00DA6858">
      <w:pPr>
        <w:tabs>
          <w:tab w:val="left" w:pos="840"/>
        </w:tabs>
        <w:adjustRightInd w:val="0"/>
        <w:snapToGrid w:val="0"/>
        <w:spacing w:line="360" w:lineRule="auto"/>
        <w:ind w:firstLineChars="200" w:firstLine="422"/>
        <w:rPr>
          <w:rFonts w:ascii="宋体" w:hAnsi="宋体"/>
          <w:b/>
          <w:bCs/>
        </w:rPr>
      </w:pPr>
      <w:r>
        <w:rPr>
          <w:rFonts w:ascii="宋体" w:hAnsi="宋体"/>
          <w:b/>
          <w:bCs/>
        </w:rPr>
        <w:t>一、基金运作方式</w:t>
      </w:r>
    </w:p>
    <w:p w14:paraId="7C7B8E85" w14:textId="77777777" w:rsidR="00706097" w:rsidRDefault="00DA6858">
      <w:pPr>
        <w:snapToGrid w:val="0"/>
        <w:spacing w:line="360" w:lineRule="auto"/>
        <w:ind w:firstLineChars="200" w:firstLine="420"/>
        <w:rPr>
          <w:rFonts w:ascii="宋体" w:hAnsi="宋体"/>
          <w:bCs/>
        </w:rPr>
      </w:pPr>
      <w:r>
        <w:rPr>
          <w:rFonts w:ascii="宋体" w:hAnsi="宋体" w:hint="eastAsia"/>
          <w:bCs/>
        </w:rPr>
        <w:t>契约型开放式</w:t>
      </w:r>
    </w:p>
    <w:p w14:paraId="2B178665" w14:textId="77777777" w:rsidR="00706097" w:rsidRDefault="00DA6858">
      <w:pPr>
        <w:tabs>
          <w:tab w:val="left" w:pos="840"/>
        </w:tabs>
        <w:adjustRightInd w:val="0"/>
        <w:snapToGrid w:val="0"/>
        <w:spacing w:line="360" w:lineRule="auto"/>
        <w:ind w:firstLineChars="200" w:firstLine="422"/>
        <w:rPr>
          <w:rFonts w:ascii="宋体" w:hAnsi="宋体"/>
          <w:b/>
          <w:bCs/>
        </w:rPr>
      </w:pPr>
      <w:r>
        <w:rPr>
          <w:rFonts w:ascii="宋体" w:hAnsi="宋体"/>
          <w:b/>
          <w:bCs/>
        </w:rPr>
        <w:t>二、基金类型</w:t>
      </w:r>
    </w:p>
    <w:p w14:paraId="408B90C1" w14:textId="77777777" w:rsidR="00706097" w:rsidRDefault="00DA6858">
      <w:pPr>
        <w:tabs>
          <w:tab w:val="left" w:pos="840"/>
        </w:tabs>
        <w:adjustRightInd w:val="0"/>
        <w:snapToGrid w:val="0"/>
        <w:spacing w:line="360" w:lineRule="auto"/>
        <w:ind w:firstLineChars="200" w:firstLine="420"/>
        <w:rPr>
          <w:rFonts w:ascii="宋体" w:hAnsi="宋体"/>
          <w:bCs/>
        </w:rPr>
      </w:pPr>
      <w:r>
        <w:rPr>
          <w:rFonts w:ascii="宋体" w:hAnsi="宋体" w:hint="eastAsia"/>
          <w:bCs/>
        </w:rPr>
        <w:t>债券型证券投资基金</w:t>
      </w:r>
    </w:p>
    <w:p w14:paraId="453D2191" w14:textId="77777777" w:rsidR="00706097" w:rsidRDefault="00DA6858">
      <w:pPr>
        <w:tabs>
          <w:tab w:val="left" w:pos="840"/>
        </w:tabs>
        <w:adjustRightInd w:val="0"/>
        <w:snapToGrid w:val="0"/>
        <w:spacing w:line="360" w:lineRule="auto"/>
        <w:ind w:firstLineChars="200" w:firstLine="422"/>
        <w:rPr>
          <w:rFonts w:ascii="宋体" w:hAnsi="宋体"/>
          <w:b/>
          <w:bCs/>
        </w:rPr>
      </w:pPr>
      <w:r>
        <w:rPr>
          <w:rFonts w:ascii="宋体" w:hAnsi="宋体" w:hint="eastAsia"/>
          <w:b/>
          <w:bCs/>
        </w:rPr>
        <w:t>三、基金存续期限</w:t>
      </w:r>
    </w:p>
    <w:p w14:paraId="553D8F44" w14:textId="77777777" w:rsidR="00706097" w:rsidRDefault="00DA6858">
      <w:pPr>
        <w:tabs>
          <w:tab w:val="left" w:pos="840"/>
        </w:tabs>
        <w:adjustRightInd w:val="0"/>
        <w:snapToGrid w:val="0"/>
        <w:spacing w:line="360" w:lineRule="auto"/>
        <w:ind w:firstLineChars="200" w:firstLine="420"/>
        <w:rPr>
          <w:rFonts w:ascii="宋体" w:hAnsi="宋体"/>
          <w:bCs/>
        </w:rPr>
      </w:pPr>
      <w:r>
        <w:rPr>
          <w:rFonts w:ascii="宋体" w:hAnsi="宋体" w:hint="eastAsia"/>
          <w:bCs/>
        </w:rPr>
        <w:t>不定期。</w:t>
      </w:r>
    </w:p>
    <w:p w14:paraId="35AE0A81" w14:textId="77777777" w:rsidR="00706097" w:rsidRDefault="00DA6858">
      <w:pPr>
        <w:tabs>
          <w:tab w:val="left" w:pos="840"/>
        </w:tabs>
        <w:adjustRightInd w:val="0"/>
        <w:snapToGrid w:val="0"/>
        <w:spacing w:line="360" w:lineRule="auto"/>
        <w:ind w:firstLineChars="200" w:firstLine="422"/>
        <w:rPr>
          <w:rFonts w:ascii="宋体" w:hAnsi="宋体"/>
          <w:b/>
          <w:bCs/>
        </w:rPr>
      </w:pPr>
      <w:r>
        <w:rPr>
          <w:rFonts w:ascii="宋体" w:hAnsi="宋体" w:hint="eastAsia"/>
          <w:b/>
          <w:bCs/>
        </w:rPr>
        <w:t>四、募集期限及募集结果</w:t>
      </w:r>
    </w:p>
    <w:p w14:paraId="70D5D8CB" w14:textId="77777777" w:rsidR="00706097" w:rsidRDefault="00DA6858">
      <w:pPr>
        <w:tabs>
          <w:tab w:val="left" w:pos="840"/>
        </w:tabs>
        <w:adjustRightInd w:val="0"/>
        <w:snapToGrid w:val="0"/>
        <w:spacing w:line="360" w:lineRule="auto"/>
        <w:ind w:firstLineChars="200" w:firstLine="420"/>
        <w:rPr>
          <w:rFonts w:ascii="宋体" w:hAnsi="宋体"/>
          <w:bCs/>
        </w:rPr>
      </w:pPr>
      <w:r>
        <w:rPr>
          <w:rFonts w:ascii="宋体" w:hAnsi="宋体" w:hint="eastAsia"/>
          <w:bCs/>
        </w:rPr>
        <w:t>本基金募集期为自2020年3月2日起至2020年3月6日止。经毕马威华</w:t>
      </w:r>
      <w:proofErr w:type="gramStart"/>
      <w:r>
        <w:rPr>
          <w:rFonts w:ascii="宋体" w:hAnsi="宋体" w:hint="eastAsia"/>
          <w:bCs/>
        </w:rPr>
        <w:t>振</w:t>
      </w:r>
      <w:proofErr w:type="gramEnd"/>
      <w:r>
        <w:rPr>
          <w:rFonts w:ascii="宋体" w:hAnsi="宋体" w:hint="eastAsia"/>
          <w:bCs/>
        </w:rPr>
        <w:t>会计师事务所（特殊普通合伙）验资，按照每份基金份额面值人民币1.00元计算，基金募集期共募集1,000,005,274.55份基金份额（其中包括利息转份额23,289.61份），有效认购户数为459户。</w:t>
      </w:r>
    </w:p>
    <w:p w14:paraId="56EACD18" w14:textId="77777777" w:rsidR="00706097" w:rsidRDefault="00706097">
      <w:pPr>
        <w:snapToGrid w:val="0"/>
        <w:spacing w:line="360" w:lineRule="auto"/>
        <w:ind w:firstLineChars="200" w:firstLine="420"/>
        <w:rPr>
          <w:rFonts w:ascii="宋体" w:hAnsi="宋体"/>
          <w:bCs/>
        </w:rPr>
      </w:pPr>
    </w:p>
    <w:p w14:paraId="08CAFA8C" w14:textId="77777777" w:rsidR="00706097" w:rsidRDefault="00706097">
      <w:pPr>
        <w:pStyle w:val="34"/>
        <w:snapToGrid w:val="0"/>
        <w:spacing w:line="360" w:lineRule="auto"/>
        <w:ind w:firstLineChars="200" w:firstLine="420"/>
        <w:rPr>
          <w:rFonts w:hAnsi="宋体" w:hint="default"/>
          <w:sz w:val="21"/>
          <w:szCs w:val="21"/>
        </w:rPr>
      </w:pPr>
    </w:p>
    <w:p w14:paraId="6DFA84C1" w14:textId="77777777" w:rsidR="00706097" w:rsidRDefault="00706097">
      <w:pPr>
        <w:pStyle w:val="34"/>
        <w:snapToGrid w:val="0"/>
        <w:spacing w:line="360" w:lineRule="auto"/>
        <w:ind w:firstLine="0"/>
        <w:rPr>
          <w:rFonts w:hAnsi="宋体" w:hint="default"/>
          <w:sz w:val="21"/>
          <w:szCs w:val="21"/>
        </w:rPr>
      </w:pPr>
    </w:p>
    <w:p w14:paraId="3EC3CD49" w14:textId="77777777" w:rsidR="00706097" w:rsidRDefault="00DA6858">
      <w:pPr>
        <w:snapToGrid w:val="0"/>
        <w:spacing w:line="360" w:lineRule="auto"/>
        <w:ind w:firstLineChars="200" w:firstLine="420"/>
        <w:rPr>
          <w:rFonts w:ascii="宋体" w:hAnsi="宋体"/>
        </w:rPr>
      </w:pPr>
      <w:r>
        <w:rPr>
          <w:rFonts w:ascii="宋体" w:hAnsi="宋体" w:hint="eastAsia"/>
          <w:bCs/>
        </w:rPr>
        <w:tab/>
      </w:r>
      <w:r>
        <w:rPr>
          <w:rFonts w:ascii="宋体" w:hAnsi="宋体"/>
        </w:rPr>
        <w:br w:type="page"/>
      </w:r>
    </w:p>
    <w:p w14:paraId="78A73605" w14:textId="77777777" w:rsidR="00706097" w:rsidRDefault="00DA6858">
      <w:pPr>
        <w:pStyle w:val="21"/>
        <w:numPr>
          <w:ilvl w:val="0"/>
          <w:numId w:val="28"/>
        </w:numPr>
        <w:snapToGrid w:val="0"/>
        <w:spacing w:before="0" w:after="0" w:line="360" w:lineRule="auto"/>
        <w:jc w:val="left"/>
        <w:rPr>
          <w:rFonts w:ascii="宋体" w:eastAsia="宋体" w:hAnsi="宋体"/>
        </w:rPr>
      </w:pPr>
      <w:bookmarkStart w:id="60" w:name="_Toc360794409"/>
      <w:bookmarkStart w:id="61" w:name="_Toc362455184"/>
      <w:bookmarkStart w:id="62" w:name="_Toc362533456"/>
      <w:bookmarkStart w:id="63" w:name="_Toc360794517"/>
      <w:bookmarkStart w:id="64" w:name="_Toc76483009"/>
      <w:bookmarkStart w:id="65" w:name="_Toc360793851"/>
      <w:bookmarkStart w:id="66" w:name="_Toc360794101"/>
      <w:bookmarkStart w:id="67" w:name="_Toc360793499"/>
      <w:r>
        <w:rPr>
          <w:rFonts w:ascii="宋体" w:eastAsia="宋体" w:hAnsi="宋体" w:hint="eastAsia"/>
        </w:rPr>
        <w:lastRenderedPageBreak/>
        <w:t>基金合同的生效</w:t>
      </w:r>
      <w:bookmarkEnd w:id="60"/>
      <w:bookmarkEnd w:id="61"/>
      <w:bookmarkEnd w:id="62"/>
      <w:bookmarkEnd w:id="63"/>
      <w:bookmarkEnd w:id="64"/>
      <w:bookmarkEnd w:id="65"/>
      <w:bookmarkEnd w:id="66"/>
      <w:bookmarkEnd w:id="67"/>
    </w:p>
    <w:p w14:paraId="41D0491D" w14:textId="77777777" w:rsidR="00706097" w:rsidRDefault="00706097">
      <w:pPr>
        <w:pStyle w:val="34"/>
        <w:snapToGrid w:val="0"/>
        <w:spacing w:line="360" w:lineRule="auto"/>
        <w:ind w:firstLineChars="200" w:firstLine="420"/>
        <w:rPr>
          <w:rFonts w:hAnsi="宋体" w:hint="default"/>
          <w:sz w:val="21"/>
          <w:szCs w:val="21"/>
        </w:rPr>
      </w:pPr>
    </w:p>
    <w:p w14:paraId="6E91BB91" w14:textId="77777777" w:rsidR="00706097" w:rsidRDefault="00DA6858">
      <w:pPr>
        <w:pStyle w:val="34"/>
        <w:snapToGrid w:val="0"/>
        <w:spacing w:line="360" w:lineRule="auto"/>
        <w:ind w:firstLineChars="200" w:firstLine="422"/>
        <w:rPr>
          <w:rFonts w:hAnsi="宋体" w:hint="default"/>
          <w:b/>
        </w:rPr>
      </w:pPr>
      <w:r>
        <w:rPr>
          <w:rFonts w:hAnsi="宋体"/>
          <w:b/>
          <w:sz w:val="21"/>
          <w:szCs w:val="21"/>
        </w:rPr>
        <w:t>一、基金合同的生效</w:t>
      </w:r>
    </w:p>
    <w:p w14:paraId="67D5A84D"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根据有关规定，本基金满足基金合同生效条件，基金合同已于</w:t>
      </w:r>
      <w:r>
        <w:rPr>
          <w:rFonts w:ascii="宋体" w:hAnsi="宋体" w:hint="eastAsia"/>
          <w:bCs/>
          <w:szCs w:val="21"/>
        </w:rPr>
        <w:t>2020</w:t>
      </w:r>
      <w:r>
        <w:rPr>
          <w:rFonts w:ascii="宋体" w:hAnsi="宋体"/>
          <w:bCs/>
          <w:szCs w:val="21"/>
        </w:rPr>
        <w:t>年</w:t>
      </w:r>
      <w:r>
        <w:rPr>
          <w:rFonts w:ascii="宋体" w:hAnsi="宋体" w:hint="eastAsia"/>
          <w:bCs/>
          <w:szCs w:val="21"/>
        </w:rPr>
        <w:t>3</w:t>
      </w:r>
      <w:r>
        <w:rPr>
          <w:rFonts w:ascii="宋体" w:hAnsi="宋体"/>
          <w:bCs/>
          <w:szCs w:val="21"/>
        </w:rPr>
        <w:t>月</w:t>
      </w:r>
      <w:r>
        <w:rPr>
          <w:rFonts w:ascii="宋体" w:hAnsi="宋体" w:hint="eastAsia"/>
          <w:bCs/>
          <w:szCs w:val="21"/>
        </w:rPr>
        <w:t>12</w:t>
      </w:r>
      <w:r>
        <w:rPr>
          <w:rFonts w:ascii="宋体" w:hAnsi="宋体"/>
          <w:bCs/>
          <w:szCs w:val="21"/>
        </w:rPr>
        <w:t>日正式生效。自基金合同生效之日起，本基金管理人开始正式管理本基金。</w:t>
      </w:r>
    </w:p>
    <w:p w14:paraId="0AA69148" w14:textId="77777777" w:rsidR="00706097" w:rsidRDefault="00706097">
      <w:pPr>
        <w:adjustRightInd w:val="0"/>
        <w:snapToGrid w:val="0"/>
        <w:spacing w:line="360" w:lineRule="auto"/>
        <w:ind w:firstLine="420"/>
        <w:rPr>
          <w:rFonts w:ascii="宋体" w:hAnsi="宋体"/>
          <w:bCs/>
          <w:szCs w:val="21"/>
        </w:rPr>
      </w:pPr>
    </w:p>
    <w:p w14:paraId="33201B93" w14:textId="77777777" w:rsidR="00706097" w:rsidRDefault="00DA6858">
      <w:pPr>
        <w:pStyle w:val="34"/>
        <w:snapToGrid w:val="0"/>
        <w:spacing w:line="360" w:lineRule="auto"/>
        <w:ind w:firstLineChars="200" w:firstLine="422"/>
        <w:rPr>
          <w:rFonts w:hAnsi="宋体" w:hint="default"/>
          <w:b/>
          <w:sz w:val="21"/>
          <w:szCs w:val="21"/>
        </w:rPr>
      </w:pPr>
      <w:r>
        <w:rPr>
          <w:rFonts w:hAnsi="宋体"/>
          <w:b/>
          <w:sz w:val="21"/>
          <w:szCs w:val="21"/>
        </w:rPr>
        <w:t>二、基金存续期内的基金份额持有人数量和资产规模</w:t>
      </w:r>
    </w:p>
    <w:p w14:paraId="71CE9484"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《基金合同》生效后，</w:t>
      </w:r>
      <w:r>
        <w:rPr>
          <w:rFonts w:ascii="宋体" w:hAnsi="宋体"/>
          <w:bCs/>
          <w:szCs w:val="21"/>
        </w:rPr>
        <w:t>连续</w:t>
      </w:r>
      <w:r>
        <w:rPr>
          <w:rFonts w:ascii="宋体" w:hAnsi="宋体" w:hint="eastAsia"/>
          <w:bCs/>
          <w:szCs w:val="21"/>
        </w:rPr>
        <w:t>二十</w:t>
      </w:r>
      <w:r>
        <w:rPr>
          <w:rFonts w:ascii="宋体" w:hAnsi="宋体"/>
          <w:bCs/>
          <w:szCs w:val="21"/>
        </w:rPr>
        <w:t>个工作日出现</w:t>
      </w:r>
      <w:r>
        <w:rPr>
          <w:rFonts w:ascii="宋体" w:hAnsi="宋体"/>
          <w:szCs w:val="21"/>
        </w:rPr>
        <w:t>基金份额持有人数量</w:t>
      </w:r>
      <w:proofErr w:type="gramStart"/>
      <w:r>
        <w:rPr>
          <w:rFonts w:ascii="宋体" w:hAnsi="宋体"/>
          <w:szCs w:val="21"/>
        </w:rPr>
        <w:t>不满</w:t>
      </w:r>
      <w:r>
        <w:rPr>
          <w:rFonts w:ascii="宋体" w:hAnsi="宋体" w:hint="eastAsia"/>
          <w:bCs/>
          <w:szCs w:val="21"/>
        </w:rPr>
        <w:t>二百</w:t>
      </w:r>
      <w:proofErr w:type="gramEnd"/>
      <w:r>
        <w:rPr>
          <w:rFonts w:ascii="宋体" w:hAnsi="宋体"/>
          <w:szCs w:val="21"/>
        </w:rPr>
        <w:t>人或者基金资产净值低于</w:t>
      </w:r>
      <w:r>
        <w:rPr>
          <w:rFonts w:ascii="宋体" w:hAnsi="宋体" w:hint="eastAsia"/>
          <w:szCs w:val="21"/>
        </w:rPr>
        <w:t>五千</w:t>
      </w:r>
      <w:r>
        <w:rPr>
          <w:rFonts w:ascii="宋体" w:hAnsi="宋体" w:hint="eastAsia"/>
          <w:bCs/>
          <w:szCs w:val="21"/>
        </w:rPr>
        <w:t>万</w:t>
      </w:r>
      <w:r>
        <w:rPr>
          <w:rFonts w:ascii="宋体" w:hAnsi="宋体"/>
          <w:szCs w:val="21"/>
        </w:rPr>
        <w:t>元情形的，基金管理人应当</w:t>
      </w:r>
      <w:r>
        <w:rPr>
          <w:rFonts w:ascii="宋体" w:hAnsi="宋体" w:hint="eastAsia"/>
          <w:bCs/>
          <w:szCs w:val="21"/>
        </w:rPr>
        <w:t>在定期报告中予以披露</w:t>
      </w:r>
      <w:r>
        <w:rPr>
          <w:rFonts w:ascii="宋体" w:hAnsi="宋体"/>
          <w:szCs w:val="21"/>
        </w:rPr>
        <w:t>；连续</w:t>
      </w:r>
      <w:r>
        <w:rPr>
          <w:rFonts w:ascii="宋体" w:hAnsi="宋体" w:hint="eastAsia"/>
          <w:bCs/>
          <w:szCs w:val="21"/>
        </w:rPr>
        <w:t>六十</w:t>
      </w:r>
      <w:r>
        <w:rPr>
          <w:rFonts w:ascii="宋体" w:hAnsi="宋体"/>
          <w:szCs w:val="21"/>
        </w:rPr>
        <w:t>个工作日出现前述情形的，基金管理人应当</w:t>
      </w:r>
      <w:r>
        <w:rPr>
          <w:rFonts w:ascii="宋体" w:hAnsi="宋体" w:hint="eastAsia"/>
          <w:szCs w:val="21"/>
        </w:rPr>
        <w:t>在十个工作日内</w:t>
      </w:r>
      <w:r>
        <w:rPr>
          <w:rFonts w:ascii="宋体" w:hAnsi="宋体"/>
          <w:szCs w:val="21"/>
        </w:rPr>
        <w:t>向中国证监会</w:t>
      </w:r>
      <w:r>
        <w:rPr>
          <w:rFonts w:ascii="宋体" w:hAnsi="宋体" w:hint="eastAsia"/>
          <w:bCs/>
          <w:szCs w:val="21"/>
        </w:rPr>
        <w:t>报告</w:t>
      </w:r>
      <w:r>
        <w:rPr>
          <w:rFonts w:ascii="宋体" w:hAnsi="宋体"/>
          <w:bCs/>
          <w:szCs w:val="21"/>
        </w:rPr>
        <w:t>并</w:t>
      </w:r>
      <w:r>
        <w:rPr>
          <w:rFonts w:ascii="宋体" w:hAnsi="宋体" w:hint="eastAsia"/>
          <w:bCs/>
          <w:szCs w:val="21"/>
        </w:rPr>
        <w:t>提出</w:t>
      </w:r>
      <w:r>
        <w:rPr>
          <w:rFonts w:ascii="宋体" w:hAnsi="宋体"/>
          <w:szCs w:val="21"/>
        </w:rPr>
        <w:t>解决方案</w:t>
      </w:r>
      <w:r>
        <w:rPr>
          <w:rFonts w:ascii="宋体" w:hAnsi="宋体" w:hint="eastAsia"/>
          <w:szCs w:val="21"/>
        </w:rPr>
        <w:t>,如持续运作、转换运作方式、与其他基金合并或者终止基金合同等，并于六个月内召开基金份额持有人大</w:t>
      </w:r>
      <w:r>
        <w:rPr>
          <w:rFonts w:ascii="宋体" w:hAnsi="宋体" w:hint="eastAsia"/>
          <w:bCs/>
          <w:szCs w:val="21"/>
        </w:rPr>
        <w:t>会进行表决</w:t>
      </w:r>
      <w:r>
        <w:rPr>
          <w:rFonts w:ascii="宋体" w:hAnsi="宋体"/>
          <w:szCs w:val="21"/>
        </w:rPr>
        <w:t>。</w:t>
      </w:r>
    </w:p>
    <w:p w14:paraId="1D247C0C" w14:textId="77777777" w:rsidR="00706097" w:rsidRDefault="00DA6858">
      <w:pPr>
        <w:adjustRightInd w:val="0"/>
        <w:snapToGrid w:val="0"/>
        <w:spacing w:line="360" w:lineRule="auto"/>
        <w:ind w:firstLineChars="200" w:firstLine="420"/>
        <w:rPr>
          <w:rFonts w:ascii="宋体" w:hAnsi="宋体"/>
          <w:szCs w:val="21"/>
        </w:rPr>
      </w:pPr>
      <w:r>
        <w:rPr>
          <w:rFonts w:ascii="宋体" w:hAnsi="宋体"/>
          <w:szCs w:val="21"/>
        </w:rPr>
        <w:t>法律法规</w:t>
      </w:r>
      <w:r>
        <w:rPr>
          <w:rFonts w:hint="eastAsia"/>
          <w:bCs/>
          <w:szCs w:val="21"/>
        </w:rPr>
        <w:t>或中国证监会</w:t>
      </w:r>
      <w:r>
        <w:rPr>
          <w:rFonts w:ascii="宋体" w:hAnsi="宋体"/>
          <w:szCs w:val="21"/>
        </w:rPr>
        <w:t>另有规定时，从其规定。</w:t>
      </w:r>
    </w:p>
    <w:p w14:paraId="1BB7A803" w14:textId="77777777" w:rsidR="00706097" w:rsidRDefault="00706097">
      <w:pPr>
        <w:snapToGrid w:val="0"/>
        <w:spacing w:line="360" w:lineRule="auto"/>
        <w:ind w:firstLineChars="200" w:firstLine="420"/>
        <w:rPr>
          <w:rFonts w:ascii="宋体" w:hAnsi="宋体"/>
          <w:szCs w:val="21"/>
        </w:rPr>
      </w:pPr>
    </w:p>
    <w:p w14:paraId="6FB531C9" w14:textId="77777777" w:rsidR="00706097" w:rsidRDefault="00DA6858">
      <w:pPr>
        <w:snapToGrid w:val="0"/>
        <w:spacing w:line="360" w:lineRule="auto"/>
        <w:ind w:firstLineChars="200" w:firstLine="420"/>
        <w:rPr>
          <w:rFonts w:ascii="宋体" w:hAnsi="宋体"/>
        </w:rPr>
      </w:pPr>
      <w:r>
        <w:rPr>
          <w:rFonts w:ascii="宋体" w:hAnsi="宋体"/>
          <w:szCs w:val="21"/>
        </w:rPr>
        <w:br w:type="page"/>
      </w:r>
    </w:p>
    <w:p w14:paraId="1543DCC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68" w:name="_Toc360794102"/>
      <w:bookmarkStart w:id="69" w:name="_Toc360793852"/>
      <w:bookmarkStart w:id="70" w:name="_Toc76483010"/>
      <w:bookmarkStart w:id="71" w:name="_Toc360794518"/>
      <w:bookmarkStart w:id="72" w:name="_Toc360793500"/>
      <w:bookmarkStart w:id="73" w:name="_Toc362533457"/>
      <w:bookmarkStart w:id="74" w:name="_Toc360794410"/>
      <w:bookmarkStart w:id="75" w:name="_Toc362455185"/>
      <w:r>
        <w:rPr>
          <w:rFonts w:ascii="宋体" w:eastAsia="宋体" w:hAnsi="宋体" w:hint="eastAsia"/>
        </w:rPr>
        <w:lastRenderedPageBreak/>
        <w:t>基金份额的申购和赎回</w:t>
      </w:r>
      <w:bookmarkEnd w:id="68"/>
      <w:bookmarkEnd w:id="69"/>
      <w:bookmarkEnd w:id="70"/>
      <w:bookmarkEnd w:id="71"/>
      <w:bookmarkEnd w:id="72"/>
      <w:bookmarkEnd w:id="73"/>
      <w:bookmarkEnd w:id="74"/>
      <w:bookmarkEnd w:id="75"/>
    </w:p>
    <w:p w14:paraId="6779F318" w14:textId="77777777" w:rsidR="00706097" w:rsidRDefault="00706097">
      <w:pPr>
        <w:pStyle w:val="a9"/>
        <w:snapToGrid w:val="0"/>
        <w:ind w:firstLineChars="196" w:firstLine="413"/>
        <w:rPr>
          <w:rFonts w:ascii="宋体" w:hAnsi="宋体"/>
          <w:b/>
          <w:sz w:val="21"/>
          <w:szCs w:val="21"/>
        </w:rPr>
      </w:pPr>
    </w:p>
    <w:p w14:paraId="4C6FC50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一、申购与赎回场所</w:t>
      </w:r>
    </w:p>
    <w:p w14:paraId="76E640D5" w14:textId="77777777" w:rsidR="00706097" w:rsidRDefault="00DA6858">
      <w:pPr>
        <w:snapToGrid w:val="0"/>
        <w:spacing w:line="360" w:lineRule="auto"/>
        <w:ind w:firstLineChars="200" w:firstLine="420"/>
        <w:rPr>
          <w:rFonts w:ascii="宋体" w:hAnsi="宋体"/>
          <w:bCs/>
          <w:szCs w:val="21"/>
        </w:rPr>
      </w:pPr>
      <w:r>
        <w:rPr>
          <w:rFonts w:ascii="宋体" w:hAnsi="宋体"/>
          <w:szCs w:val="21"/>
        </w:rPr>
        <w:t>本基金的申购与赎回将通过销售机构进行。具体的销售</w:t>
      </w:r>
      <w:r>
        <w:rPr>
          <w:rFonts w:ascii="宋体" w:hAnsi="宋体" w:hint="eastAsia"/>
          <w:szCs w:val="21"/>
        </w:rPr>
        <w:t>机构</w:t>
      </w:r>
      <w:r>
        <w:rPr>
          <w:rFonts w:ascii="宋体" w:hAnsi="宋体"/>
          <w:szCs w:val="21"/>
        </w:rPr>
        <w:t>将由基金管理人在招募说明书或其</w:t>
      </w:r>
      <w:r>
        <w:rPr>
          <w:rFonts w:ascii="宋体" w:hAnsi="宋体" w:hint="eastAsia"/>
          <w:szCs w:val="21"/>
        </w:rPr>
        <w:t>网站</w:t>
      </w:r>
      <w:r>
        <w:rPr>
          <w:rFonts w:ascii="宋体" w:hAnsi="宋体"/>
          <w:szCs w:val="21"/>
        </w:rPr>
        <w:t>列明。基金管理人可根据情况变更或增减销售机构，并</w:t>
      </w:r>
      <w:r>
        <w:rPr>
          <w:rFonts w:ascii="宋体" w:hAnsi="宋体" w:hint="eastAsia"/>
          <w:szCs w:val="21"/>
        </w:rPr>
        <w:t>在管理人网站公示</w:t>
      </w:r>
      <w:r>
        <w:rPr>
          <w:rFonts w:ascii="宋体" w:hAnsi="宋体"/>
          <w:szCs w:val="21"/>
        </w:rPr>
        <w:t>。基金投资</w:t>
      </w:r>
      <w:r>
        <w:rPr>
          <w:rFonts w:ascii="宋体" w:hAnsi="宋体" w:hint="eastAsia"/>
          <w:szCs w:val="21"/>
        </w:rPr>
        <w:t>者</w:t>
      </w:r>
      <w:r>
        <w:rPr>
          <w:rFonts w:ascii="宋体" w:hAnsi="宋体"/>
          <w:szCs w:val="21"/>
        </w:rPr>
        <w:t>应当</w:t>
      </w:r>
      <w:r>
        <w:rPr>
          <w:rFonts w:ascii="宋体" w:hAnsi="宋体" w:hint="eastAsia"/>
          <w:szCs w:val="21"/>
        </w:rPr>
        <w:t>在</w:t>
      </w:r>
      <w:r>
        <w:rPr>
          <w:rFonts w:ascii="宋体" w:hAnsi="宋体"/>
          <w:szCs w:val="21"/>
        </w:rPr>
        <w:t>销售机构办理基金销售业务的营业场所或按销售机构提供的其他方式办理基金份额的</w:t>
      </w:r>
      <w:r>
        <w:rPr>
          <w:rFonts w:ascii="宋体" w:hAnsi="宋体" w:hint="eastAsia"/>
          <w:szCs w:val="21"/>
        </w:rPr>
        <w:t>申购与赎回。</w:t>
      </w:r>
    </w:p>
    <w:p w14:paraId="7A521A6B" w14:textId="77777777" w:rsidR="00706097" w:rsidRDefault="00706097">
      <w:pPr>
        <w:snapToGrid w:val="0"/>
        <w:spacing w:line="360" w:lineRule="auto"/>
        <w:ind w:firstLineChars="200" w:firstLine="420"/>
        <w:rPr>
          <w:rFonts w:ascii="宋体" w:hAnsi="宋体"/>
          <w:szCs w:val="21"/>
        </w:rPr>
      </w:pPr>
    </w:p>
    <w:p w14:paraId="3ACC8291"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二、申购与赎回的开放日及时间</w:t>
      </w:r>
    </w:p>
    <w:p w14:paraId="52B9CCB7"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开放日及开放时间</w:t>
      </w:r>
    </w:p>
    <w:p w14:paraId="3CEF72B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投资人</w:t>
      </w:r>
      <w:r>
        <w:rPr>
          <w:rFonts w:ascii="宋体" w:hAnsi="宋体"/>
          <w:szCs w:val="21"/>
        </w:rPr>
        <w:t>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9113923"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34C9DF50" w14:textId="77777777" w:rsidR="00706097" w:rsidRDefault="00DA6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申购、赎回开始日及业务办理时间</w:t>
      </w:r>
    </w:p>
    <w:p w14:paraId="3F88D39C"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基金管理人自基金合同生效之日起不超过</w:t>
      </w:r>
      <w:r>
        <w:rPr>
          <w:rFonts w:ascii="宋体" w:hAnsi="宋体" w:hint="eastAsia"/>
          <w:szCs w:val="21"/>
        </w:rPr>
        <w:t>三个月</w:t>
      </w:r>
      <w:r>
        <w:rPr>
          <w:rFonts w:ascii="宋体" w:hAnsi="宋体"/>
          <w:szCs w:val="21"/>
        </w:rPr>
        <w:t>开始办理申购，具体业务办理时间在申购开始公告中规定。</w:t>
      </w:r>
    </w:p>
    <w:p w14:paraId="7F2ACF73"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基金管理人自基金合同生效之日起不超过</w:t>
      </w:r>
      <w:r>
        <w:rPr>
          <w:rFonts w:ascii="宋体" w:hAnsi="宋体" w:hint="eastAsia"/>
          <w:szCs w:val="21"/>
        </w:rPr>
        <w:t>三个月</w:t>
      </w:r>
      <w:r>
        <w:rPr>
          <w:rFonts w:ascii="宋体" w:hAnsi="宋体"/>
          <w:szCs w:val="21"/>
        </w:rPr>
        <w:t>开始办理赎回，具体业务办理时间在赎回开始公告中规定。</w:t>
      </w:r>
    </w:p>
    <w:p w14:paraId="28656F6E" w14:textId="77777777" w:rsidR="00706097" w:rsidRDefault="00DA6858">
      <w:pPr>
        <w:adjustRightInd w:val="0"/>
        <w:snapToGrid w:val="0"/>
        <w:spacing w:line="360" w:lineRule="auto"/>
        <w:ind w:firstLine="420"/>
        <w:rPr>
          <w:rFonts w:ascii="宋体" w:hAnsi="宋体"/>
          <w:szCs w:val="21"/>
        </w:rPr>
      </w:pPr>
      <w:r>
        <w:rPr>
          <w:rFonts w:ascii="宋体" w:hAnsi="宋体"/>
          <w:szCs w:val="21"/>
        </w:rPr>
        <w:t>在确定申购开始与赎回开始时间后，基金管理人应在申购、赎回开放日前依照《信息披露办法》的有关规定在指定媒介上公告申购与赎回的开始时间。</w:t>
      </w:r>
    </w:p>
    <w:p w14:paraId="5670A427"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基金管理人不得在基金合同约定之外的日期或者时间办理基金份额的申购</w:t>
      </w:r>
      <w:r>
        <w:rPr>
          <w:rFonts w:ascii="宋体" w:hAnsi="宋体" w:hint="eastAsia"/>
          <w:szCs w:val="21"/>
        </w:rPr>
        <w:t>、</w:t>
      </w:r>
      <w:r>
        <w:rPr>
          <w:rFonts w:ascii="宋体" w:hAnsi="宋体"/>
          <w:szCs w:val="21"/>
        </w:rPr>
        <w:t>赎回或者转换。投资人在基金合同约定之外的日期和时间提出申购、赎回或转换申请</w:t>
      </w:r>
      <w:proofErr w:type="gramStart"/>
      <w:r>
        <w:rPr>
          <w:rFonts w:ascii="宋体" w:hAnsi="宋体" w:hint="eastAsia"/>
          <w:szCs w:val="21"/>
        </w:rPr>
        <w:t>且登记</w:t>
      </w:r>
      <w:proofErr w:type="gramEnd"/>
      <w:r>
        <w:rPr>
          <w:rFonts w:ascii="宋体" w:hAnsi="宋体" w:hint="eastAsia"/>
          <w:szCs w:val="21"/>
        </w:rPr>
        <w:t>机构确认接受</w:t>
      </w:r>
      <w:r>
        <w:rPr>
          <w:rFonts w:ascii="宋体" w:hAnsi="宋体"/>
          <w:szCs w:val="21"/>
        </w:rPr>
        <w:t>的，其基金份额申购、赎回价格为下一开放日</w:t>
      </w:r>
      <w:r>
        <w:rPr>
          <w:rFonts w:ascii="宋体" w:hAnsi="宋体" w:hint="eastAsia"/>
          <w:szCs w:val="21"/>
        </w:rPr>
        <w:t>该类别</w:t>
      </w:r>
      <w:r>
        <w:rPr>
          <w:rFonts w:ascii="宋体" w:hAnsi="宋体"/>
          <w:szCs w:val="21"/>
        </w:rPr>
        <w:t>基金份额申购、赎回的价格。</w:t>
      </w:r>
    </w:p>
    <w:p w14:paraId="3A565A2A" w14:textId="77777777" w:rsidR="00706097" w:rsidRDefault="00706097">
      <w:pPr>
        <w:snapToGrid w:val="0"/>
        <w:spacing w:line="360" w:lineRule="auto"/>
        <w:ind w:firstLine="480"/>
        <w:rPr>
          <w:rFonts w:ascii="宋体" w:hAnsi="宋体"/>
          <w:szCs w:val="21"/>
        </w:rPr>
      </w:pPr>
    </w:p>
    <w:p w14:paraId="1DCDC99D"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三、申购与赎回的原则</w:t>
      </w:r>
    </w:p>
    <w:p w14:paraId="7ABC4307"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“未知价”原则，即申购、赎回价格以申请当日收市后计算的</w:t>
      </w:r>
      <w:r>
        <w:rPr>
          <w:rFonts w:ascii="宋体" w:hAnsi="宋体" w:hint="eastAsia"/>
          <w:szCs w:val="21"/>
        </w:rPr>
        <w:t>某类别</w:t>
      </w:r>
      <w:r>
        <w:rPr>
          <w:rFonts w:ascii="宋体" w:hAnsi="宋体"/>
          <w:szCs w:val="21"/>
        </w:rPr>
        <w:t>基金份额净值为基准进行计算；</w:t>
      </w:r>
    </w:p>
    <w:p w14:paraId="2364702F" w14:textId="77777777" w:rsidR="00706097" w:rsidRDefault="00DA6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“金额申购、份额赎回”原则，即申购以金额申请，赎回以份额申请；</w:t>
      </w:r>
    </w:p>
    <w:p w14:paraId="5F3092AA" w14:textId="77777777" w:rsidR="00706097" w:rsidRDefault="00DA6858">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w:t>
      </w:r>
      <w:r>
        <w:rPr>
          <w:rFonts w:ascii="宋体" w:hAnsi="宋体"/>
          <w:szCs w:val="21"/>
        </w:rPr>
        <w:t>当日的申购与赎回申请可以在基金管理人规定的时间以内撤销；</w:t>
      </w:r>
    </w:p>
    <w:p w14:paraId="65776A8F" w14:textId="77777777" w:rsidR="00706097" w:rsidRDefault="00DA6858">
      <w:pPr>
        <w:adjustRightInd w:val="0"/>
        <w:snapToGrid w:val="0"/>
        <w:spacing w:line="360" w:lineRule="auto"/>
        <w:ind w:firstLine="420"/>
        <w:rPr>
          <w:rFonts w:ascii="宋体" w:hAnsi="宋体"/>
          <w:szCs w:val="21"/>
        </w:rPr>
      </w:pPr>
      <w:r>
        <w:rPr>
          <w:rFonts w:ascii="宋体" w:hAnsi="宋体"/>
          <w:szCs w:val="21"/>
        </w:rPr>
        <w:t>4</w:t>
      </w:r>
      <w:r>
        <w:rPr>
          <w:rFonts w:ascii="宋体" w:hAnsi="宋体" w:hint="eastAsia"/>
          <w:szCs w:val="21"/>
        </w:rPr>
        <w:t>、</w:t>
      </w:r>
      <w:r>
        <w:rPr>
          <w:rFonts w:ascii="宋体" w:hAnsi="宋体"/>
          <w:szCs w:val="21"/>
        </w:rPr>
        <w:t>赎回遵循“先进先出”原则，即按照投资人认购、申购的先后次序进行顺序赎回</w:t>
      </w:r>
      <w:r>
        <w:rPr>
          <w:rFonts w:ascii="宋体" w:hAnsi="宋体" w:hint="eastAsia"/>
          <w:szCs w:val="21"/>
        </w:rPr>
        <w:t>；</w:t>
      </w:r>
    </w:p>
    <w:p w14:paraId="313FD1E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5、办理申购、赎回业务时，应当遵循基金份额持有人利益优先原则，确保投资者的合法权益不受损害并得到公平对待。</w:t>
      </w:r>
    </w:p>
    <w:p w14:paraId="78638E16"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基金管理人可在法律法规允许的情况下，对上述原则进行调整。基金管理人必须在新规则开始实施前依照《信息披露办法》的有关规定在指定媒介上公告。</w:t>
      </w:r>
    </w:p>
    <w:p w14:paraId="1E4ECAAB" w14:textId="77777777" w:rsidR="00706097" w:rsidRDefault="00706097">
      <w:pPr>
        <w:snapToGrid w:val="0"/>
        <w:spacing w:line="360" w:lineRule="auto"/>
        <w:ind w:firstLineChars="200" w:firstLine="420"/>
        <w:rPr>
          <w:rFonts w:ascii="宋体" w:hAnsi="宋体"/>
          <w:szCs w:val="21"/>
        </w:rPr>
      </w:pPr>
    </w:p>
    <w:p w14:paraId="4FC1D28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四、申购与赎回的程序</w:t>
      </w:r>
    </w:p>
    <w:p w14:paraId="59B60E55"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1、申购和赎回的申请方式</w:t>
      </w:r>
    </w:p>
    <w:p w14:paraId="3850C0CD"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投资人必须根据销售机构规定的程序，在开放日的具体业务办理时间内提出申购或赎回的申请。</w:t>
      </w:r>
    </w:p>
    <w:p w14:paraId="0D013DDC"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2、申购和赎回的款项支付</w:t>
      </w:r>
    </w:p>
    <w:p w14:paraId="03AEDC0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投资人申购基金份额时，必须全额交付申购款项，投资人交付申购款项，申购成立；基金份额登记机构确认基金份额时，申购生效。</w:t>
      </w:r>
    </w:p>
    <w:p w14:paraId="663C5189"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份额持有人递交赎回申请，赎回成立；基金份额登记机构确认赎回时，赎回生效。基金份额持有人赎回申请生效后，基金管理人将在T+7日（包括该日）内向基金份额持有人支付赎回款项。如遇交易所或交易市场数据传输延迟、通讯系统故障、银行数据交换系统故障或其它</w:t>
      </w:r>
      <w:proofErr w:type="gramStart"/>
      <w:r>
        <w:rPr>
          <w:rFonts w:ascii="宋体" w:hAnsi="宋体" w:hint="eastAsia"/>
          <w:szCs w:val="21"/>
        </w:rPr>
        <w:t>非基金</w:t>
      </w:r>
      <w:proofErr w:type="gramEnd"/>
      <w:r>
        <w:rPr>
          <w:rFonts w:ascii="宋体" w:hAnsi="宋体" w:hint="eastAsia"/>
          <w:szCs w:val="21"/>
        </w:rPr>
        <w:t>管理人及基金托管人所能控制的因素影响业务处理流程，则赎回款项的支付时间可相应顺延。在发生巨额赎回或基金合同约定的其他延缓支付赎回款项的情形时，款项的支付办法参照基金合同有关条款处理。</w:t>
      </w:r>
    </w:p>
    <w:p w14:paraId="3310CFCF"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3、申购和赎回申请的确认</w:t>
      </w:r>
    </w:p>
    <w:p w14:paraId="2701064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应以交易时间结束前受理有效申购和赎回申请的当天作为申购或赎回申请日（T日），在正常情况下，本基金登记机构在T+1日内对该交易的有效性进行确认。T日提交的有效申请，投资人应在T+2日后(包括该日)到销售网点柜台或以销售机构规定的其他方式查询申请的确认情况。若申购不成功，则申购款项本金退还给投资人。</w:t>
      </w:r>
    </w:p>
    <w:p w14:paraId="6D5A8F9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销售机构对申购、赎回申请的受理并不代表该申请一定成功，而仅代表销售机构确实接收到申购、赎回申请。申购、赎回的确认以登记机构的确认结果为准。对于申购、赎回申请的确认情况，投资人应及时查询并妥善行使合法权利。</w:t>
      </w:r>
    </w:p>
    <w:p w14:paraId="464427E4"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基金管理人在不违反法律法规的前提下，可对上述程序规则进行调整。基金管理人应在新规则开始实施前依照《信息披露办法》的有关规定在指定媒介上公告。</w:t>
      </w:r>
    </w:p>
    <w:p w14:paraId="3FBB35F6"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五、申购与赎回的数额限制</w:t>
      </w:r>
    </w:p>
    <w:p w14:paraId="0C11F9EF"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本基金首次申购和追加申购的最低金额均为1元（含申购费），各销售机构在符合上述规定的前提下，可根据情况调高首次申购和追加申购的最低金额，具体以销售机构公布的为准，投资人需遵循销售机构的相关规定。本基金单笔赎回申请不低于1份，投资人全额赎回时不受上述限制。各销售机构在符合上述规定的前提下，可根据情况调高单笔最低赎回份额要求，具体以销售机构公布的为准，投资人需遵循销售机构的相关规定；</w:t>
      </w:r>
    </w:p>
    <w:p w14:paraId="28ADF7F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2、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宋体" w:hAnsi="宋体" w:hint="eastAsia"/>
          <w:bCs/>
          <w:szCs w:val="21"/>
        </w:rPr>
        <w:t>见基金</w:t>
      </w:r>
      <w:proofErr w:type="gramEnd"/>
      <w:r>
        <w:rPr>
          <w:rFonts w:ascii="宋体" w:hAnsi="宋体" w:hint="eastAsia"/>
          <w:bCs/>
          <w:szCs w:val="21"/>
        </w:rPr>
        <w:t>管理人相关公告；</w:t>
      </w:r>
    </w:p>
    <w:p w14:paraId="350E12F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w:t>
      </w:r>
      <w:r>
        <w:rPr>
          <w:rFonts w:ascii="宋体" w:hAnsi="宋体" w:hint="eastAsia"/>
          <w:bCs/>
          <w:szCs w:val="21"/>
        </w:rPr>
        <w:t>本基金不对投资</w:t>
      </w:r>
      <w:r>
        <w:rPr>
          <w:rFonts w:ascii="宋体" w:hAnsi="宋体"/>
          <w:szCs w:val="21"/>
        </w:rPr>
        <w:t>人</w:t>
      </w:r>
      <w:r>
        <w:rPr>
          <w:rFonts w:ascii="宋体" w:hAnsi="宋体" w:hint="eastAsia"/>
          <w:bCs/>
          <w:szCs w:val="21"/>
        </w:rPr>
        <w:t>每个交易账户的最低基金份额余额进行限制；</w:t>
      </w:r>
    </w:p>
    <w:p w14:paraId="77FAB14C"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4、本</w:t>
      </w:r>
      <w:r>
        <w:rPr>
          <w:rFonts w:ascii="宋体" w:hAnsi="宋体" w:hint="eastAsia"/>
          <w:bCs/>
          <w:szCs w:val="21"/>
        </w:rPr>
        <w:t>基金不对单个投资</w:t>
      </w:r>
      <w:r>
        <w:rPr>
          <w:rFonts w:ascii="宋体" w:hAnsi="宋体"/>
          <w:szCs w:val="21"/>
        </w:rPr>
        <w:t>人</w:t>
      </w:r>
      <w:r>
        <w:rPr>
          <w:rFonts w:ascii="宋体" w:hAnsi="宋体" w:hint="eastAsia"/>
          <w:bCs/>
          <w:szCs w:val="21"/>
        </w:rPr>
        <w:t>累计持有的基金份额上限进行限制，但法律法规或有权机关另有规定的除外；</w:t>
      </w:r>
    </w:p>
    <w:p w14:paraId="67709E7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5、基金管理人可以规定单个投资人累计持有的基金份额上限、单日或单笔申购金额上限，以及本基金的总规模限额和单日净申购比例上限，</w:t>
      </w:r>
      <w:r>
        <w:rPr>
          <w:rFonts w:ascii="宋体" w:hAnsi="宋体"/>
          <w:bCs/>
          <w:szCs w:val="21"/>
        </w:rPr>
        <w:t>具体规定请参见</w:t>
      </w:r>
      <w:r>
        <w:rPr>
          <w:rFonts w:ascii="宋体" w:hAnsi="宋体" w:hint="eastAsia"/>
          <w:bCs/>
          <w:szCs w:val="21"/>
        </w:rPr>
        <w:t>相关公告；</w:t>
      </w:r>
    </w:p>
    <w:p w14:paraId="667BAD1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6、</w:t>
      </w:r>
      <w:r>
        <w:rPr>
          <w:rFonts w:ascii="宋体" w:hAnsi="宋体"/>
          <w:bCs/>
          <w:szCs w:val="21"/>
        </w:rPr>
        <w:t>基金管理人可在法律法规允许的情况下，调整上述规定申购金额和赎回份额</w:t>
      </w:r>
      <w:r>
        <w:rPr>
          <w:rFonts w:ascii="宋体" w:hAnsi="宋体" w:hint="eastAsia"/>
          <w:bCs/>
          <w:szCs w:val="21"/>
        </w:rPr>
        <w:t>等</w:t>
      </w:r>
      <w:r>
        <w:rPr>
          <w:rFonts w:ascii="宋体" w:hAnsi="宋体"/>
          <w:bCs/>
          <w:szCs w:val="21"/>
        </w:rPr>
        <w:t>数量限制。基金管理人必须在调整</w:t>
      </w:r>
      <w:r>
        <w:rPr>
          <w:rFonts w:ascii="宋体" w:hAnsi="宋体" w:hint="eastAsia"/>
          <w:bCs/>
          <w:szCs w:val="21"/>
        </w:rPr>
        <w:t>实施</w:t>
      </w:r>
      <w:r>
        <w:rPr>
          <w:rFonts w:ascii="宋体" w:hAnsi="宋体"/>
          <w:bCs/>
          <w:szCs w:val="21"/>
        </w:rPr>
        <w:t>前依照《信息披露办法》的有关规定在指定媒介上公告。</w:t>
      </w:r>
    </w:p>
    <w:p w14:paraId="31AB58B7" w14:textId="77777777" w:rsidR="00706097" w:rsidRDefault="00706097">
      <w:pPr>
        <w:snapToGrid w:val="0"/>
        <w:spacing w:line="360" w:lineRule="auto"/>
        <w:ind w:firstLineChars="200" w:firstLine="420"/>
        <w:rPr>
          <w:rFonts w:ascii="宋体" w:hAnsi="宋体"/>
          <w:szCs w:val="21"/>
        </w:rPr>
      </w:pPr>
    </w:p>
    <w:p w14:paraId="157741C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六、申购费用和赎回费用</w:t>
      </w:r>
    </w:p>
    <w:p w14:paraId="1B22DB84"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1、 本基金C类和E类基金份额不收取申购费，本基金A类基金份额的申购费用由申购 A 类基金份额的投资人承担，不列入基金资产，主要用于基金的市场推广、销售、登记等各项费用。</w:t>
      </w:r>
    </w:p>
    <w:p w14:paraId="234C0C3B"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2、本基金A类基金份额的申购费率按照申购金额逐级递减，登记机构根据单笔申购的实际确认金额确定每笔申购所适用的费率并分别计算。</w:t>
      </w:r>
    </w:p>
    <w:p w14:paraId="377DEC88"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本基金 A 类基金份额的申购费率如下：</w:t>
      </w:r>
    </w:p>
    <w:tbl>
      <w:tblPr>
        <w:tblW w:w="6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9"/>
        <w:gridCol w:w="3235"/>
      </w:tblGrid>
      <w:tr w:rsidR="00706097" w14:paraId="7D6F455B" w14:textId="77777777">
        <w:trPr>
          <w:trHeight w:val="442"/>
          <w:jc w:val="center"/>
        </w:trPr>
        <w:tc>
          <w:tcPr>
            <w:tcW w:w="2849" w:type="dxa"/>
            <w:vAlign w:val="center"/>
          </w:tcPr>
          <w:p w14:paraId="74E7E09D" w14:textId="77777777" w:rsidR="00706097" w:rsidRDefault="00DA6858">
            <w:pPr>
              <w:snapToGrid w:val="0"/>
              <w:spacing w:line="360" w:lineRule="auto"/>
              <w:ind w:firstLineChars="200" w:firstLine="420"/>
              <w:rPr>
                <w:rFonts w:ascii="宋体" w:hAnsi="宋体"/>
                <w:szCs w:val="21"/>
              </w:rPr>
            </w:pPr>
            <w:r>
              <w:rPr>
                <w:rFonts w:ascii="宋体" w:hAnsi="宋体"/>
                <w:szCs w:val="21"/>
              </w:rPr>
              <w:t>申购金额（M）</w:t>
            </w:r>
          </w:p>
        </w:tc>
        <w:tc>
          <w:tcPr>
            <w:tcW w:w="3235" w:type="dxa"/>
            <w:vAlign w:val="center"/>
          </w:tcPr>
          <w:p w14:paraId="7EA0E49D" w14:textId="77777777" w:rsidR="00706097" w:rsidRDefault="00DA6858">
            <w:pPr>
              <w:snapToGrid w:val="0"/>
              <w:spacing w:line="360" w:lineRule="auto"/>
              <w:ind w:firstLineChars="200" w:firstLine="420"/>
              <w:rPr>
                <w:rFonts w:ascii="宋体" w:hAnsi="宋体"/>
                <w:szCs w:val="21"/>
              </w:rPr>
            </w:pPr>
            <w:r>
              <w:rPr>
                <w:rFonts w:ascii="宋体" w:hAnsi="宋体"/>
                <w:szCs w:val="21"/>
              </w:rPr>
              <w:t>申购费率</w:t>
            </w:r>
          </w:p>
        </w:tc>
      </w:tr>
      <w:tr w:rsidR="00706097" w14:paraId="03267A59" w14:textId="77777777">
        <w:tblPrEx>
          <w:tblBorders>
            <w:insideH w:val="none" w:sz="0" w:space="0" w:color="auto"/>
            <w:insideV w:val="none" w:sz="0" w:space="0" w:color="auto"/>
          </w:tblBorders>
        </w:tblPrEx>
        <w:trPr>
          <w:trHeight w:val="461"/>
          <w:jc w:val="center"/>
        </w:trPr>
        <w:tc>
          <w:tcPr>
            <w:tcW w:w="2849" w:type="dxa"/>
            <w:tcBorders>
              <w:top w:val="single" w:sz="4" w:space="0" w:color="auto"/>
              <w:left w:val="single" w:sz="4" w:space="0" w:color="auto"/>
              <w:bottom w:val="single" w:sz="4" w:space="0" w:color="auto"/>
              <w:right w:val="single" w:sz="4" w:space="0" w:color="auto"/>
            </w:tcBorders>
            <w:vAlign w:val="center"/>
          </w:tcPr>
          <w:p w14:paraId="30C4AAAC"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M＜</w:t>
            </w:r>
            <w:r>
              <w:rPr>
                <w:rFonts w:ascii="宋体" w:hAnsi="宋体"/>
                <w:szCs w:val="21"/>
              </w:rPr>
              <w:t>100</w:t>
            </w:r>
            <w:r>
              <w:rPr>
                <w:rFonts w:ascii="宋体" w:hAnsi="宋体" w:hint="eastAsia"/>
                <w:szCs w:val="21"/>
              </w:rPr>
              <w:t>万</w:t>
            </w:r>
          </w:p>
        </w:tc>
        <w:tc>
          <w:tcPr>
            <w:tcW w:w="3235" w:type="dxa"/>
            <w:tcBorders>
              <w:top w:val="single" w:sz="4" w:space="0" w:color="auto"/>
              <w:left w:val="single" w:sz="4" w:space="0" w:color="auto"/>
              <w:bottom w:val="single" w:sz="4" w:space="0" w:color="auto"/>
              <w:right w:val="single" w:sz="4" w:space="0" w:color="auto"/>
            </w:tcBorders>
            <w:vAlign w:val="center"/>
          </w:tcPr>
          <w:p w14:paraId="03D450A5" w14:textId="77777777" w:rsidR="00706097" w:rsidRDefault="00DA6858">
            <w:pPr>
              <w:snapToGrid w:val="0"/>
              <w:spacing w:line="360" w:lineRule="auto"/>
              <w:ind w:firstLineChars="200" w:firstLine="420"/>
              <w:rPr>
                <w:rFonts w:ascii="宋体" w:hAnsi="宋体"/>
                <w:szCs w:val="21"/>
              </w:rPr>
            </w:pPr>
            <w:r>
              <w:rPr>
                <w:rFonts w:ascii="宋体" w:hAnsi="宋体"/>
                <w:szCs w:val="21"/>
              </w:rPr>
              <w:t>0.4</w:t>
            </w:r>
            <w:r>
              <w:rPr>
                <w:rFonts w:ascii="宋体" w:hAnsi="宋体" w:hint="eastAsia"/>
                <w:szCs w:val="21"/>
              </w:rPr>
              <w:t>%</w:t>
            </w:r>
          </w:p>
        </w:tc>
      </w:tr>
      <w:tr w:rsidR="00706097" w14:paraId="53E18574" w14:textId="77777777">
        <w:tblPrEx>
          <w:tblBorders>
            <w:insideH w:val="none" w:sz="0" w:space="0" w:color="auto"/>
            <w:insideV w:val="none" w:sz="0" w:space="0" w:color="auto"/>
          </w:tblBorders>
        </w:tblPrEx>
        <w:trPr>
          <w:trHeight w:val="465"/>
          <w:jc w:val="center"/>
        </w:trPr>
        <w:tc>
          <w:tcPr>
            <w:tcW w:w="2849" w:type="dxa"/>
            <w:tcBorders>
              <w:top w:val="single" w:sz="4" w:space="0" w:color="auto"/>
              <w:left w:val="single" w:sz="4" w:space="0" w:color="auto"/>
              <w:bottom w:val="single" w:sz="4" w:space="0" w:color="auto"/>
              <w:right w:val="single" w:sz="4" w:space="0" w:color="auto"/>
            </w:tcBorders>
            <w:vAlign w:val="center"/>
          </w:tcPr>
          <w:p w14:paraId="763068D8"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100万</w:t>
            </w:r>
            <w:r>
              <w:rPr>
                <w:rFonts w:ascii="宋体" w:hAnsi="宋体"/>
                <w:szCs w:val="21"/>
              </w:rPr>
              <w:t>≤</w:t>
            </w:r>
            <w:r>
              <w:rPr>
                <w:rFonts w:ascii="宋体" w:hAnsi="宋体" w:hint="eastAsia"/>
                <w:szCs w:val="21"/>
              </w:rPr>
              <w:t>M</w:t>
            </w:r>
            <w:r>
              <w:rPr>
                <w:rFonts w:ascii="宋体" w:hAnsi="宋体"/>
                <w:szCs w:val="21"/>
              </w:rPr>
              <w:t>＜500</w:t>
            </w:r>
            <w:r>
              <w:rPr>
                <w:rFonts w:ascii="宋体" w:hAnsi="宋体" w:hint="eastAsia"/>
                <w:szCs w:val="21"/>
              </w:rPr>
              <w:t>万</w:t>
            </w:r>
          </w:p>
        </w:tc>
        <w:tc>
          <w:tcPr>
            <w:tcW w:w="3235" w:type="dxa"/>
            <w:tcBorders>
              <w:top w:val="single" w:sz="4" w:space="0" w:color="auto"/>
              <w:left w:val="single" w:sz="4" w:space="0" w:color="auto"/>
              <w:bottom w:val="single" w:sz="4" w:space="0" w:color="auto"/>
              <w:right w:val="single" w:sz="4" w:space="0" w:color="auto"/>
            </w:tcBorders>
            <w:vAlign w:val="center"/>
          </w:tcPr>
          <w:p w14:paraId="3A330F5F" w14:textId="77777777" w:rsidR="00706097" w:rsidRDefault="00DA6858">
            <w:pPr>
              <w:snapToGrid w:val="0"/>
              <w:spacing w:line="360" w:lineRule="auto"/>
              <w:ind w:firstLineChars="200" w:firstLine="420"/>
              <w:rPr>
                <w:rFonts w:ascii="宋体" w:hAnsi="宋体"/>
                <w:szCs w:val="21"/>
              </w:rPr>
            </w:pPr>
            <w:r>
              <w:rPr>
                <w:rFonts w:ascii="宋体" w:hAnsi="宋体"/>
                <w:szCs w:val="21"/>
              </w:rPr>
              <w:t>0.2</w:t>
            </w:r>
            <w:r>
              <w:rPr>
                <w:rFonts w:ascii="宋体" w:hAnsi="宋体" w:hint="eastAsia"/>
                <w:szCs w:val="21"/>
              </w:rPr>
              <w:t>%</w:t>
            </w:r>
          </w:p>
        </w:tc>
      </w:tr>
      <w:tr w:rsidR="00706097" w14:paraId="6E90EFD0" w14:textId="77777777">
        <w:tblPrEx>
          <w:tblBorders>
            <w:insideH w:val="none" w:sz="0" w:space="0" w:color="auto"/>
            <w:insideV w:val="none" w:sz="0" w:space="0" w:color="auto"/>
          </w:tblBorders>
        </w:tblPrEx>
        <w:trPr>
          <w:trHeight w:val="451"/>
          <w:jc w:val="center"/>
        </w:trPr>
        <w:tc>
          <w:tcPr>
            <w:tcW w:w="2849" w:type="dxa"/>
            <w:tcBorders>
              <w:top w:val="single" w:sz="4" w:space="0" w:color="auto"/>
              <w:left w:val="single" w:sz="4" w:space="0" w:color="auto"/>
              <w:bottom w:val="single" w:sz="4" w:space="0" w:color="auto"/>
              <w:right w:val="single" w:sz="4" w:space="0" w:color="auto"/>
            </w:tcBorders>
            <w:vAlign w:val="center"/>
          </w:tcPr>
          <w:p w14:paraId="0DC99A18"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M≥500万</w:t>
            </w:r>
          </w:p>
        </w:tc>
        <w:tc>
          <w:tcPr>
            <w:tcW w:w="3235" w:type="dxa"/>
            <w:tcBorders>
              <w:top w:val="single" w:sz="4" w:space="0" w:color="auto"/>
              <w:left w:val="single" w:sz="4" w:space="0" w:color="auto"/>
              <w:bottom w:val="single" w:sz="4" w:space="0" w:color="auto"/>
              <w:right w:val="single" w:sz="4" w:space="0" w:color="auto"/>
            </w:tcBorders>
            <w:vAlign w:val="center"/>
          </w:tcPr>
          <w:p w14:paraId="0A29543A" w14:textId="77777777" w:rsidR="00706097" w:rsidRDefault="00DA6858">
            <w:pPr>
              <w:snapToGrid w:val="0"/>
              <w:spacing w:line="360" w:lineRule="auto"/>
              <w:ind w:firstLineChars="200" w:firstLine="420"/>
              <w:rPr>
                <w:rFonts w:ascii="宋体" w:hAnsi="宋体"/>
                <w:szCs w:val="21"/>
              </w:rPr>
            </w:pPr>
            <w:proofErr w:type="gramStart"/>
            <w:r>
              <w:rPr>
                <w:rFonts w:ascii="宋体" w:hAnsi="宋体" w:hint="eastAsia"/>
                <w:szCs w:val="21"/>
              </w:rPr>
              <w:t>按笔收取</w:t>
            </w:r>
            <w:proofErr w:type="gramEnd"/>
            <w:r>
              <w:rPr>
                <w:rFonts w:ascii="宋体" w:hAnsi="宋体" w:hint="eastAsia"/>
                <w:szCs w:val="21"/>
              </w:rPr>
              <w:t>，1000元/笔</w:t>
            </w:r>
          </w:p>
        </w:tc>
      </w:tr>
    </w:tbl>
    <w:p w14:paraId="494CE7FD"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2、</w:t>
      </w:r>
      <w:r>
        <w:rPr>
          <w:rFonts w:ascii="宋体" w:hAnsi="宋体"/>
          <w:szCs w:val="21"/>
        </w:rPr>
        <w:t xml:space="preserve">本基金赎回费用由赎回基金份额的基金份额持有人承担，在基金份额持有人赎回基金份额时收取。 </w:t>
      </w:r>
    </w:p>
    <w:p w14:paraId="266C9E44" w14:textId="77777777" w:rsidR="00706097" w:rsidRDefault="00DA6858">
      <w:pPr>
        <w:snapToGrid w:val="0"/>
        <w:spacing w:line="360" w:lineRule="auto"/>
        <w:ind w:firstLineChars="200" w:firstLine="420"/>
        <w:rPr>
          <w:rFonts w:ascii="宋体" w:hAnsi="宋体"/>
          <w:szCs w:val="21"/>
        </w:rPr>
      </w:pPr>
      <w:r>
        <w:rPr>
          <w:rFonts w:ascii="宋体" w:hAnsi="宋体"/>
          <w:szCs w:val="21"/>
        </w:rPr>
        <w:t>赎回费率随赎回基金份额持有期限的增加而递减，具体费率如下：</w:t>
      </w:r>
    </w:p>
    <w:tbl>
      <w:tblPr>
        <w:tblW w:w="4998" w:type="pct"/>
        <w:tblLook w:val="04A0" w:firstRow="1" w:lastRow="0" w:firstColumn="1" w:lastColumn="0" w:noHBand="0" w:noVBand="1"/>
      </w:tblPr>
      <w:tblGrid>
        <w:gridCol w:w="2083"/>
        <w:gridCol w:w="2105"/>
        <w:gridCol w:w="2014"/>
        <w:gridCol w:w="2081"/>
      </w:tblGrid>
      <w:tr w:rsidR="00706097" w14:paraId="317DB8BE" w14:textId="77777777">
        <w:trPr>
          <w:trHeight w:val="310"/>
        </w:trPr>
        <w:tc>
          <w:tcPr>
            <w:tcW w:w="1257" w:type="pct"/>
            <w:vMerge w:val="restart"/>
            <w:tcBorders>
              <w:top w:val="single" w:sz="8" w:space="0" w:color="000000"/>
              <w:left w:val="single" w:sz="8" w:space="0" w:color="000000"/>
              <w:bottom w:val="single" w:sz="8" w:space="0" w:color="000000"/>
              <w:right w:val="single" w:sz="8" w:space="0" w:color="000000"/>
            </w:tcBorders>
            <w:vAlign w:val="center"/>
          </w:tcPr>
          <w:p w14:paraId="300069E0"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申请份额持有时间（T）</w:t>
            </w:r>
          </w:p>
        </w:tc>
        <w:tc>
          <w:tcPr>
            <w:tcW w:w="3742" w:type="pct"/>
            <w:gridSpan w:val="3"/>
            <w:tcBorders>
              <w:top w:val="single" w:sz="8" w:space="0" w:color="000000"/>
              <w:left w:val="single" w:sz="8" w:space="0" w:color="000000"/>
              <w:bottom w:val="single" w:sz="8" w:space="0" w:color="000000"/>
              <w:right w:val="single" w:sz="8" w:space="0" w:color="000000"/>
            </w:tcBorders>
          </w:tcPr>
          <w:p w14:paraId="1AEA81AE" w14:textId="77777777" w:rsidR="00706097" w:rsidRDefault="00DA6858">
            <w:pPr>
              <w:widowControl/>
              <w:jc w:val="center"/>
              <w:textAlignment w:val="top"/>
              <w:rPr>
                <w:rFonts w:ascii="宋体" w:hAnsi="宋体" w:cs="宋体"/>
                <w:color w:val="000000"/>
                <w:szCs w:val="21"/>
              </w:rPr>
            </w:pPr>
            <w:r>
              <w:rPr>
                <w:rFonts w:ascii="宋体" w:hAnsi="宋体" w:cs="宋体" w:hint="eastAsia"/>
                <w:color w:val="000000"/>
                <w:kern w:val="0"/>
                <w:szCs w:val="21"/>
                <w:lang w:bidi="ar"/>
              </w:rPr>
              <w:t>赎回费率</w:t>
            </w:r>
          </w:p>
        </w:tc>
      </w:tr>
      <w:tr w:rsidR="00706097" w14:paraId="5CC12FA7" w14:textId="77777777">
        <w:trPr>
          <w:trHeight w:val="555"/>
        </w:trPr>
        <w:tc>
          <w:tcPr>
            <w:tcW w:w="1257" w:type="pct"/>
            <w:vMerge/>
            <w:tcBorders>
              <w:top w:val="single" w:sz="8" w:space="0" w:color="000000"/>
              <w:left w:val="single" w:sz="8" w:space="0" w:color="000000"/>
              <w:bottom w:val="single" w:sz="8" w:space="0" w:color="000000"/>
              <w:right w:val="single" w:sz="8" w:space="0" w:color="000000"/>
            </w:tcBorders>
            <w:vAlign w:val="center"/>
          </w:tcPr>
          <w:p w14:paraId="3F252445" w14:textId="77777777" w:rsidR="00706097" w:rsidRDefault="00706097">
            <w:pPr>
              <w:jc w:val="center"/>
              <w:rPr>
                <w:rFonts w:ascii="宋体" w:hAnsi="宋体" w:cs="宋体"/>
                <w:color w:val="000000"/>
                <w:szCs w:val="21"/>
              </w:rPr>
            </w:pPr>
          </w:p>
        </w:tc>
        <w:tc>
          <w:tcPr>
            <w:tcW w:w="1270" w:type="pct"/>
            <w:tcBorders>
              <w:top w:val="nil"/>
              <w:left w:val="nil"/>
              <w:bottom w:val="single" w:sz="8" w:space="0" w:color="000000"/>
              <w:right w:val="single" w:sz="8" w:space="0" w:color="000000"/>
            </w:tcBorders>
          </w:tcPr>
          <w:p w14:paraId="0EED3D57"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A类基金份额</w:t>
            </w:r>
          </w:p>
        </w:tc>
        <w:tc>
          <w:tcPr>
            <w:tcW w:w="1216" w:type="pct"/>
            <w:tcBorders>
              <w:top w:val="nil"/>
              <w:left w:val="single" w:sz="8" w:space="0" w:color="000000"/>
              <w:bottom w:val="single" w:sz="8" w:space="0" w:color="000000"/>
              <w:right w:val="single" w:sz="8" w:space="0" w:color="000000"/>
            </w:tcBorders>
          </w:tcPr>
          <w:p w14:paraId="3E56F704"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C类基金份额</w:t>
            </w:r>
          </w:p>
        </w:tc>
        <w:tc>
          <w:tcPr>
            <w:tcW w:w="1256" w:type="pct"/>
            <w:tcBorders>
              <w:top w:val="nil"/>
              <w:left w:val="single" w:sz="8" w:space="0" w:color="000000"/>
              <w:bottom w:val="single" w:sz="8" w:space="0" w:color="000000"/>
              <w:right w:val="single" w:sz="8" w:space="0" w:color="000000"/>
            </w:tcBorders>
          </w:tcPr>
          <w:p w14:paraId="294F2813"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E类基金份额</w:t>
            </w:r>
          </w:p>
        </w:tc>
      </w:tr>
      <w:tr w:rsidR="00706097" w14:paraId="61AE9AA4" w14:textId="77777777">
        <w:trPr>
          <w:trHeight w:val="285"/>
        </w:trPr>
        <w:tc>
          <w:tcPr>
            <w:tcW w:w="1257" w:type="pct"/>
            <w:tcBorders>
              <w:top w:val="nil"/>
              <w:left w:val="single" w:sz="8" w:space="0" w:color="000000"/>
              <w:bottom w:val="single" w:sz="8" w:space="0" w:color="000000"/>
              <w:right w:val="single" w:sz="8" w:space="0" w:color="000000"/>
            </w:tcBorders>
            <w:vAlign w:val="center"/>
          </w:tcPr>
          <w:p w14:paraId="7A4DEFD5"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T＜7日</w:t>
            </w:r>
          </w:p>
        </w:tc>
        <w:tc>
          <w:tcPr>
            <w:tcW w:w="1270" w:type="pct"/>
            <w:tcBorders>
              <w:top w:val="nil"/>
              <w:left w:val="nil"/>
              <w:bottom w:val="single" w:sz="8" w:space="0" w:color="000000"/>
              <w:right w:val="single" w:sz="8" w:space="0" w:color="000000"/>
            </w:tcBorders>
          </w:tcPr>
          <w:p w14:paraId="1AF6BA3D"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1.50%</w:t>
            </w:r>
          </w:p>
        </w:tc>
        <w:tc>
          <w:tcPr>
            <w:tcW w:w="1216" w:type="pct"/>
            <w:tcBorders>
              <w:top w:val="nil"/>
              <w:left w:val="nil"/>
              <w:bottom w:val="single" w:sz="8" w:space="0" w:color="000000"/>
              <w:right w:val="single" w:sz="8" w:space="0" w:color="000000"/>
            </w:tcBorders>
            <w:vAlign w:val="center"/>
          </w:tcPr>
          <w:p w14:paraId="06537361"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1.50%</w:t>
            </w:r>
          </w:p>
        </w:tc>
        <w:tc>
          <w:tcPr>
            <w:tcW w:w="1256" w:type="pct"/>
            <w:tcBorders>
              <w:top w:val="nil"/>
              <w:left w:val="nil"/>
              <w:bottom w:val="single" w:sz="8" w:space="0" w:color="000000"/>
              <w:right w:val="single" w:sz="8" w:space="0" w:color="000000"/>
            </w:tcBorders>
            <w:vAlign w:val="center"/>
          </w:tcPr>
          <w:p w14:paraId="4A7E1313"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1.50%</w:t>
            </w:r>
          </w:p>
        </w:tc>
      </w:tr>
      <w:tr w:rsidR="00706097" w14:paraId="2A491138" w14:textId="77777777">
        <w:trPr>
          <w:trHeight w:val="555"/>
        </w:trPr>
        <w:tc>
          <w:tcPr>
            <w:tcW w:w="1257" w:type="pct"/>
            <w:tcBorders>
              <w:top w:val="nil"/>
              <w:left w:val="single" w:sz="8" w:space="0" w:color="000000"/>
              <w:bottom w:val="single" w:sz="8" w:space="0" w:color="000000"/>
              <w:right w:val="single" w:sz="8" w:space="0" w:color="000000"/>
            </w:tcBorders>
            <w:vAlign w:val="center"/>
          </w:tcPr>
          <w:p w14:paraId="026F5E26"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7日≤T＜30日</w:t>
            </w:r>
          </w:p>
        </w:tc>
        <w:tc>
          <w:tcPr>
            <w:tcW w:w="1270" w:type="pct"/>
            <w:tcBorders>
              <w:top w:val="nil"/>
              <w:left w:val="nil"/>
              <w:bottom w:val="single" w:sz="8" w:space="0" w:color="000000"/>
              <w:right w:val="single" w:sz="8" w:space="0" w:color="000000"/>
            </w:tcBorders>
          </w:tcPr>
          <w:p w14:paraId="057B7FBF"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0.10%</w:t>
            </w:r>
          </w:p>
        </w:tc>
        <w:tc>
          <w:tcPr>
            <w:tcW w:w="1216" w:type="pct"/>
            <w:tcBorders>
              <w:top w:val="nil"/>
              <w:left w:val="nil"/>
              <w:bottom w:val="single" w:sz="8" w:space="0" w:color="000000"/>
              <w:right w:val="single" w:sz="8" w:space="0" w:color="000000"/>
            </w:tcBorders>
            <w:vAlign w:val="center"/>
          </w:tcPr>
          <w:p w14:paraId="6DE06EBE"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0.10%</w:t>
            </w:r>
          </w:p>
        </w:tc>
        <w:tc>
          <w:tcPr>
            <w:tcW w:w="1256" w:type="pct"/>
            <w:tcBorders>
              <w:top w:val="nil"/>
              <w:left w:val="nil"/>
              <w:bottom w:val="single" w:sz="8" w:space="0" w:color="000000"/>
              <w:right w:val="single" w:sz="8" w:space="0" w:color="000000"/>
            </w:tcBorders>
            <w:vAlign w:val="center"/>
          </w:tcPr>
          <w:p w14:paraId="5605743C"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0</w:t>
            </w:r>
          </w:p>
        </w:tc>
      </w:tr>
      <w:tr w:rsidR="00706097" w14:paraId="7A8DE409" w14:textId="77777777">
        <w:trPr>
          <w:trHeight w:val="295"/>
        </w:trPr>
        <w:tc>
          <w:tcPr>
            <w:tcW w:w="1257" w:type="pct"/>
            <w:tcBorders>
              <w:top w:val="nil"/>
              <w:left w:val="single" w:sz="8" w:space="0" w:color="000000"/>
              <w:bottom w:val="single" w:sz="8" w:space="0" w:color="000000"/>
              <w:right w:val="single" w:sz="8" w:space="0" w:color="000000"/>
            </w:tcBorders>
            <w:vAlign w:val="center"/>
          </w:tcPr>
          <w:p w14:paraId="502648A4"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T≥30日</w:t>
            </w:r>
          </w:p>
        </w:tc>
        <w:tc>
          <w:tcPr>
            <w:tcW w:w="1270" w:type="pct"/>
            <w:tcBorders>
              <w:top w:val="nil"/>
              <w:left w:val="nil"/>
              <w:bottom w:val="single" w:sz="8" w:space="0" w:color="000000"/>
              <w:right w:val="single" w:sz="8" w:space="0" w:color="000000"/>
            </w:tcBorders>
          </w:tcPr>
          <w:p w14:paraId="67BD975D" w14:textId="77777777" w:rsidR="00706097" w:rsidRDefault="00DA6858">
            <w:pPr>
              <w:widowControl/>
              <w:ind w:firstLineChars="200" w:firstLine="420"/>
              <w:jc w:val="center"/>
              <w:textAlignment w:val="top"/>
              <w:rPr>
                <w:rFonts w:ascii="宋体" w:hAnsi="宋体" w:cs="宋体"/>
                <w:color w:val="000000"/>
                <w:szCs w:val="21"/>
              </w:rPr>
            </w:pPr>
            <w:r>
              <w:rPr>
                <w:rFonts w:ascii="宋体" w:hAnsi="宋体" w:cs="宋体" w:hint="eastAsia"/>
                <w:color w:val="000000"/>
                <w:kern w:val="0"/>
                <w:szCs w:val="21"/>
                <w:lang w:bidi="ar"/>
              </w:rPr>
              <w:t>0</w:t>
            </w:r>
          </w:p>
        </w:tc>
        <w:tc>
          <w:tcPr>
            <w:tcW w:w="1216" w:type="pct"/>
            <w:tcBorders>
              <w:top w:val="nil"/>
              <w:left w:val="nil"/>
              <w:bottom w:val="single" w:sz="8" w:space="0" w:color="000000"/>
              <w:right w:val="single" w:sz="8" w:space="0" w:color="000000"/>
            </w:tcBorders>
            <w:vAlign w:val="center"/>
          </w:tcPr>
          <w:p w14:paraId="6F64B82E"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0</w:t>
            </w:r>
          </w:p>
        </w:tc>
        <w:tc>
          <w:tcPr>
            <w:tcW w:w="1256" w:type="pct"/>
            <w:tcBorders>
              <w:top w:val="nil"/>
              <w:left w:val="nil"/>
              <w:bottom w:val="single" w:sz="8" w:space="0" w:color="000000"/>
              <w:right w:val="single" w:sz="8" w:space="0" w:color="000000"/>
            </w:tcBorders>
            <w:vAlign w:val="center"/>
          </w:tcPr>
          <w:p w14:paraId="05FA9E0C" w14:textId="77777777" w:rsidR="00706097" w:rsidRDefault="00DA6858">
            <w:pPr>
              <w:widowControl/>
              <w:ind w:firstLineChars="200" w:firstLine="420"/>
              <w:jc w:val="center"/>
              <w:textAlignment w:val="center"/>
              <w:rPr>
                <w:rFonts w:ascii="宋体" w:hAnsi="宋体" w:cs="宋体"/>
                <w:color w:val="000000"/>
                <w:szCs w:val="21"/>
              </w:rPr>
            </w:pPr>
            <w:r>
              <w:rPr>
                <w:rFonts w:ascii="宋体" w:hAnsi="宋体" w:cs="宋体" w:hint="eastAsia"/>
                <w:color w:val="000000"/>
                <w:kern w:val="0"/>
                <w:szCs w:val="21"/>
                <w:lang w:bidi="ar"/>
              </w:rPr>
              <w:t>0</w:t>
            </w:r>
          </w:p>
        </w:tc>
      </w:tr>
    </w:tbl>
    <w:p w14:paraId="30721785" w14:textId="77777777" w:rsidR="00706097" w:rsidRDefault="00706097">
      <w:pPr>
        <w:snapToGrid w:val="0"/>
        <w:spacing w:line="360" w:lineRule="auto"/>
        <w:ind w:firstLineChars="200" w:firstLine="420"/>
        <w:rPr>
          <w:rFonts w:ascii="宋体" w:hAnsi="宋体"/>
          <w:szCs w:val="21"/>
        </w:rPr>
      </w:pPr>
    </w:p>
    <w:p w14:paraId="23FD12AC"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投资人可将其持有的全部或部分基金份额赎回。对于持续</w:t>
      </w:r>
      <w:r>
        <w:rPr>
          <w:rFonts w:ascii="宋体" w:hAnsi="宋体"/>
          <w:szCs w:val="21"/>
        </w:rPr>
        <w:t>持有</w:t>
      </w:r>
      <w:r>
        <w:rPr>
          <w:rFonts w:ascii="宋体" w:hAnsi="宋体" w:hint="eastAsia"/>
          <w:szCs w:val="21"/>
        </w:rPr>
        <w:t>期</w:t>
      </w:r>
      <w:r>
        <w:rPr>
          <w:rFonts w:ascii="宋体" w:hAnsi="宋体"/>
          <w:szCs w:val="21"/>
        </w:rPr>
        <w:t>少于7日的</w:t>
      </w:r>
      <w:r>
        <w:rPr>
          <w:rFonts w:ascii="宋体" w:hAnsi="宋体" w:hint="eastAsia"/>
          <w:szCs w:val="21"/>
        </w:rPr>
        <w:t>投资者，收</w:t>
      </w:r>
      <w:r>
        <w:rPr>
          <w:rFonts w:ascii="宋体" w:hAnsi="宋体" w:hint="eastAsia"/>
          <w:szCs w:val="21"/>
        </w:rPr>
        <w:lastRenderedPageBreak/>
        <w:t>取的</w:t>
      </w:r>
      <w:r>
        <w:rPr>
          <w:rFonts w:ascii="宋体" w:hAnsi="宋体"/>
          <w:szCs w:val="21"/>
        </w:rPr>
        <w:t>赎回费全额归入基金财产</w:t>
      </w:r>
      <w:r>
        <w:rPr>
          <w:rFonts w:ascii="宋体" w:hAnsi="宋体" w:hint="eastAsia"/>
          <w:szCs w:val="21"/>
        </w:rPr>
        <w:t>；</w:t>
      </w:r>
      <w:r>
        <w:rPr>
          <w:rFonts w:ascii="宋体" w:hAnsi="宋体"/>
          <w:szCs w:val="21"/>
        </w:rPr>
        <w:t>对于持续持有期不少于7日的投资者，赎回费总额的25%计入基金财产，未计入基金财产的部分用于支付登记费和其他必要的手续费。</w:t>
      </w:r>
    </w:p>
    <w:p w14:paraId="3EC223A8" w14:textId="77777777" w:rsidR="00706097" w:rsidRDefault="00DA6858">
      <w:pPr>
        <w:snapToGrid w:val="0"/>
        <w:spacing w:line="360" w:lineRule="auto"/>
        <w:ind w:firstLineChars="200" w:firstLine="420"/>
        <w:rPr>
          <w:rFonts w:ascii="宋体" w:hAnsi="宋体"/>
          <w:szCs w:val="21"/>
        </w:rPr>
      </w:pPr>
      <w:r>
        <w:rPr>
          <w:rFonts w:ascii="宋体" w:hAnsi="宋体"/>
          <w:szCs w:val="21"/>
        </w:rPr>
        <w:t>3、基金管理人可以在基金合同约定的范围内调整费率或收费方式，</w:t>
      </w:r>
      <w:r>
        <w:rPr>
          <w:rFonts w:ascii="宋体" w:hAnsi="宋体" w:hint="eastAsia"/>
          <w:szCs w:val="21"/>
        </w:rPr>
        <w:t>并</w:t>
      </w:r>
      <w:r>
        <w:rPr>
          <w:rFonts w:ascii="宋体" w:hAnsi="宋体"/>
          <w:szCs w:val="21"/>
        </w:rPr>
        <w:t>最迟应于新的费率或收费方式实施</w:t>
      </w:r>
      <w:r>
        <w:rPr>
          <w:rFonts w:ascii="宋体" w:hAnsi="宋体" w:hint="eastAsia"/>
          <w:szCs w:val="21"/>
        </w:rPr>
        <w:t>日</w:t>
      </w:r>
      <w:r>
        <w:rPr>
          <w:rFonts w:ascii="宋体" w:hAnsi="宋体"/>
          <w:szCs w:val="21"/>
        </w:rPr>
        <w:t>前</w:t>
      </w:r>
      <w:r>
        <w:rPr>
          <w:rFonts w:ascii="宋体" w:hAnsi="宋体" w:hint="eastAsia"/>
          <w:szCs w:val="21"/>
        </w:rPr>
        <w:t>依照《信息披露办法》的有关规定</w:t>
      </w:r>
      <w:r>
        <w:rPr>
          <w:rFonts w:ascii="宋体" w:hAnsi="宋体"/>
          <w:szCs w:val="21"/>
        </w:rPr>
        <w:t>在指定</w:t>
      </w:r>
      <w:r>
        <w:rPr>
          <w:rFonts w:ascii="宋体" w:hAnsi="宋体" w:hint="eastAsia"/>
          <w:szCs w:val="21"/>
        </w:rPr>
        <w:t>媒介上</w:t>
      </w:r>
      <w:r>
        <w:rPr>
          <w:rFonts w:ascii="宋体" w:hAnsi="宋体"/>
          <w:szCs w:val="21"/>
        </w:rPr>
        <w:t>公告。</w:t>
      </w:r>
    </w:p>
    <w:p w14:paraId="38DEAF56" w14:textId="77777777" w:rsidR="00706097" w:rsidRDefault="00DA6858">
      <w:pPr>
        <w:snapToGrid w:val="0"/>
        <w:spacing w:line="360" w:lineRule="auto"/>
        <w:ind w:firstLineChars="200" w:firstLine="420"/>
        <w:rPr>
          <w:rFonts w:ascii="宋体" w:hAnsi="宋体"/>
          <w:szCs w:val="21"/>
        </w:rPr>
      </w:pPr>
      <w:r>
        <w:rPr>
          <w:rFonts w:ascii="宋体" w:hAnsi="宋体" w:hint="eastAsia"/>
          <w:bCs/>
          <w:szCs w:val="21"/>
        </w:rPr>
        <w:t>4、基金管理人可以在不违反法律法规规定及基金合同约定的情况下根据市场情况制定基金促销计划，定期或不定期地开展基金促销活动。在基金促销活动期间，基金管理人可以对投资者开展不同的费率优惠活动。</w:t>
      </w:r>
    </w:p>
    <w:p w14:paraId="51F93EC6" w14:textId="77777777" w:rsidR="00706097" w:rsidRDefault="00706097">
      <w:pPr>
        <w:snapToGrid w:val="0"/>
        <w:spacing w:line="360" w:lineRule="auto"/>
        <w:ind w:firstLineChars="200" w:firstLine="420"/>
        <w:rPr>
          <w:rFonts w:ascii="宋体" w:hAnsi="宋体"/>
          <w:szCs w:val="21"/>
        </w:rPr>
      </w:pPr>
    </w:p>
    <w:p w14:paraId="61EA052C"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七、申购份额与赎回金额的计算</w:t>
      </w:r>
    </w:p>
    <w:p w14:paraId="69D5619E" w14:textId="77777777" w:rsidR="00706097" w:rsidRDefault="00DA6858">
      <w:pPr>
        <w:snapToGrid w:val="0"/>
        <w:spacing w:line="360" w:lineRule="auto"/>
        <w:ind w:firstLineChars="200" w:firstLine="420"/>
        <w:rPr>
          <w:rFonts w:ascii="宋体" w:hAnsi="宋体"/>
          <w:szCs w:val="20"/>
        </w:rPr>
      </w:pPr>
      <w:r>
        <w:rPr>
          <w:rFonts w:ascii="宋体" w:hAnsi="宋体"/>
          <w:szCs w:val="20"/>
        </w:rPr>
        <w:t>1、基金申购份额的计算</w:t>
      </w:r>
    </w:p>
    <w:p w14:paraId="3A0ED52C"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（1）本</w:t>
      </w:r>
      <w:r>
        <w:rPr>
          <w:rFonts w:ascii="宋体" w:hAnsi="宋体"/>
          <w:szCs w:val="20"/>
        </w:rPr>
        <w:t>基金</w:t>
      </w:r>
      <w:r>
        <w:rPr>
          <w:rFonts w:ascii="宋体" w:hAnsi="宋体" w:hint="eastAsia"/>
          <w:szCs w:val="20"/>
        </w:rPr>
        <w:t>A类基金份额</w:t>
      </w:r>
      <w:r>
        <w:rPr>
          <w:rFonts w:ascii="宋体" w:hAnsi="宋体"/>
          <w:szCs w:val="20"/>
        </w:rPr>
        <w:t>的申购金额包括申购费用和净申购金额。申购份额的计算公式为：</w:t>
      </w:r>
    </w:p>
    <w:p w14:paraId="6614CC9A" w14:textId="77777777" w:rsidR="00706097" w:rsidRDefault="00DA6858">
      <w:pPr>
        <w:snapToGrid w:val="0"/>
        <w:spacing w:line="360" w:lineRule="auto"/>
        <w:ind w:firstLineChars="200" w:firstLine="420"/>
        <w:rPr>
          <w:rFonts w:ascii="宋体" w:hAnsi="宋体"/>
          <w:szCs w:val="20"/>
        </w:rPr>
      </w:pPr>
      <w:r>
        <w:rPr>
          <w:rFonts w:ascii="宋体" w:hAnsi="宋体"/>
          <w:szCs w:val="20"/>
        </w:rPr>
        <w:t>净申购金额</w:t>
      </w:r>
      <w:r>
        <w:rPr>
          <w:rFonts w:ascii="宋体" w:hAnsi="宋体" w:hint="eastAsia"/>
          <w:szCs w:val="20"/>
        </w:rPr>
        <w:t xml:space="preserve"> </w:t>
      </w:r>
      <w:r>
        <w:rPr>
          <w:rFonts w:ascii="宋体" w:hAnsi="宋体"/>
          <w:szCs w:val="20"/>
        </w:rPr>
        <w:t>= 申购金额/（1+申购费率）</w:t>
      </w:r>
    </w:p>
    <w:p w14:paraId="46FA250F" w14:textId="77777777" w:rsidR="00706097" w:rsidRDefault="00DA6858">
      <w:pPr>
        <w:snapToGrid w:val="0"/>
        <w:spacing w:line="360" w:lineRule="auto"/>
        <w:ind w:firstLineChars="200" w:firstLine="420"/>
        <w:rPr>
          <w:rFonts w:ascii="宋体" w:hAnsi="宋体"/>
          <w:szCs w:val="20"/>
        </w:rPr>
      </w:pPr>
      <w:r>
        <w:rPr>
          <w:rFonts w:ascii="宋体" w:hAnsi="宋体"/>
          <w:szCs w:val="20"/>
        </w:rPr>
        <w:t>申购费用 = 申购金额－净申购金额</w:t>
      </w:r>
    </w:p>
    <w:p w14:paraId="056C869F" w14:textId="77777777" w:rsidR="00706097" w:rsidRDefault="00DA6858">
      <w:pPr>
        <w:snapToGrid w:val="0"/>
        <w:spacing w:line="360" w:lineRule="auto"/>
        <w:ind w:firstLineChars="200" w:firstLine="420"/>
        <w:rPr>
          <w:rFonts w:ascii="宋体" w:hAnsi="宋体"/>
          <w:szCs w:val="20"/>
        </w:rPr>
      </w:pPr>
      <w:r>
        <w:rPr>
          <w:rFonts w:ascii="宋体" w:hAnsi="宋体"/>
          <w:szCs w:val="20"/>
        </w:rPr>
        <w:t>申购份额 = 净申购金额/申购当日</w:t>
      </w:r>
      <w:r>
        <w:rPr>
          <w:rFonts w:ascii="宋体" w:hAnsi="宋体" w:hint="eastAsia"/>
          <w:szCs w:val="20"/>
        </w:rPr>
        <w:t>A类基金份额的</w:t>
      </w:r>
      <w:r>
        <w:rPr>
          <w:rFonts w:ascii="宋体" w:hAnsi="宋体"/>
          <w:szCs w:val="20"/>
        </w:rPr>
        <w:t>基金份额净值</w:t>
      </w:r>
    </w:p>
    <w:p w14:paraId="2F7530E5"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 xml:space="preserve">（2）C类、E类基金份额的计算 </w:t>
      </w:r>
    </w:p>
    <w:p w14:paraId="3DE17E55"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净申购金额 = 申购金额</w:t>
      </w:r>
    </w:p>
    <w:p w14:paraId="0EB8651D"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申购份额=净申购金额/</w:t>
      </w:r>
      <w:r>
        <w:rPr>
          <w:rFonts w:ascii="宋体" w:hAnsi="宋体"/>
          <w:szCs w:val="20"/>
        </w:rPr>
        <w:t>申购当日</w:t>
      </w:r>
      <w:r>
        <w:rPr>
          <w:rFonts w:ascii="宋体" w:hAnsi="宋体" w:hint="eastAsia"/>
          <w:szCs w:val="20"/>
        </w:rPr>
        <w:t>C类或E类基金份额的基金份额净值</w:t>
      </w:r>
    </w:p>
    <w:p w14:paraId="530BC208"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以上计算结果以四舍五入方式保留到小数点后</w:t>
      </w:r>
      <w:r>
        <w:rPr>
          <w:rFonts w:ascii="宋体" w:hAnsi="宋体"/>
          <w:szCs w:val="20"/>
        </w:rPr>
        <w:t>2</w:t>
      </w:r>
      <w:r>
        <w:rPr>
          <w:rFonts w:ascii="宋体" w:hAnsi="宋体" w:hint="eastAsia"/>
          <w:szCs w:val="20"/>
        </w:rPr>
        <w:t>位，由此误差产生的收益或损失由基金财产承担。</w:t>
      </w:r>
    </w:p>
    <w:p w14:paraId="051F851A"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例如：某投资者投资</w:t>
      </w:r>
      <w:r>
        <w:rPr>
          <w:rFonts w:ascii="宋体" w:hAnsi="宋体"/>
          <w:szCs w:val="20"/>
        </w:rPr>
        <w:t>5,000</w:t>
      </w:r>
      <w:r>
        <w:rPr>
          <w:rFonts w:ascii="宋体" w:hAnsi="宋体" w:hint="eastAsia"/>
          <w:szCs w:val="20"/>
        </w:rPr>
        <w:t>元申购本基金</w:t>
      </w:r>
      <w:r>
        <w:rPr>
          <w:rFonts w:ascii="宋体" w:hAnsi="宋体"/>
          <w:szCs w:val="20"/>
        </w:rPr>
        <w:t>A</w:t>
      </w:r>
      <w:r>
        <w:rPr>
          <w:rFonts w:ascii="宋体" w:hAnsi="宋体" w:hint="eastAsia"/>
          <w:szCs w:val="20"/>
        </w:rPr>
        <w:t>类基金份额，对应申购费率为</w:t>
      </w:r>
      <w:r>
        <w:rPr>
          <w:rFonts w:ascii="宋体" w:hAnsi="宋体"/>
          <w:szCs w:val="20"/>
        </w:rPr>
        <w:t>0.40%</w:t>
      </w:r>
      <w:r>
        <w:rPr>
          <w:rFonts w:ascii="宋体" w:hAnsi="宋体" w:hint="eastAsia"/>
          <w:szCs w:val="20"/>
        </w:rPr>
        <w:t>，假设申购当日本基金的</w:t>
      </w:r>
      <w:r>
        <w:rPr>
          <w:rFonts w:ascii="宋体" w:hAnsi="宋体"/>
          <w:szCs w:val="20"/>
        </w:rPr>
        <w:t>A</w:t>
      </w:r>
      <w:r>
        <w:rPr>
          <w:rFonts w:ascii="宋体" w:hAnsi="宋体" w:hint="eastAsia"/>
          <w:szCs w:val="20"/>
        </w:rPr>
        <w:t>类基金份额的基金份额净值为</w:t>
      </w:r>
      <w:r>
        <w:rPr>
          <w:rFonts w:ascii="宋体" w:hAnsi="宋体"/>
          <w:szCs w:val="20"/>
        </w:rPr>
        <w:t>1.1280</w:t>
      </w:r>
      <w:r>
        <w:rPr>
          <w:rFonts w:ascii="宋体" w:hAnsi="宋体" w:hint="eastAsia"/>
          <w:szCs w:val="20"/>
        </w:rPr>
        <w:t>元，则其可得到的申购份额为：</w:t>
      </w:r>
    </w:p>
    <w:p w14:paraId="2541E1E8" w14:textId="77777777" w:rsidR="00706097" w:rsidRDefault="00DA6858">
      <w:pPr>
        <w:snapToGrid w:val="0"/>
        <w:spacing w:line="360" w:lineRule="auto"/>
        <w:ind w:firstLineChars="200" w:firstLine="420"/>
        <w:rPr>
          <w:rFonts w:ascii="宋体" w:hAnsi="宋体"/>
          <w:szCs w:val="20"/>
        </w:rPr>
      </w:pPr>
      <w:r>
        <w:rPr>
          <w:rFonts w:ascii="宋体" w:hAnsi="宋体"/>
          <w:szCs w:val="20"/>
        </w:rPr>
        <w:t>净申购金额＝5,000/ (1+0.40%）＝</w:t>
      </w:r>
      <w:r>
        <w:rPr>
          <w:rFonts w:ascii="宋体" w:hAnsi="宋体" w:hint="eastAsia"/>
          <w:szCs w:val="20"/>
        </w:rPr>
        <w:t>4</w:t>
      </w:r>
      <w:r>
        <w:rPr>
          <w:rFonts w:ascii="宋体" w:hAnsi="宋体"/>
          <w:szCs w:val="20"/>
        </w:rPr>
        <w:t>,</w:t>
      </w:r>
      <w:r>
        <w:rPr>
          <w:rFonts w:ascii="宋体" w:hAnsi="宋体" w:hint="eastAsia"/>
          <w:szCs w:val="20"/>
        </w:rPr>
        <w:t>980.08</w:t>
      </w:r>
      <w:r>
        <w:rPr>
          <w:rFonts w:ascii="宋体" w:hAnsi="宋体"/>
          <w:szCs w:val="20"/>
        </w:rPr>
        <w:t>元</w:t>
      </w:r>
    </w:p>
    <w:p w14:paraId="6B84423E" w14:textId="77777777" w:rsidR="00706097" w:rsidRDefault="00DA6858">
      <w:pPr>
        <w:snapToGrid w:val="0"/>
        <w:spacing w:line="360" w:lineRule="auto"/>
        <w:ind w:firstLineChars="200" w:firstLine="420"/>
        <w:rPr>
          <w:rFonts w:ascii="宋体" w:hAnsi="宋体"/>
          <w:szCs w:val="20"/>
        </w:rPr>
      </w:pPr>
      <w:r>
        <w:rPr>
          <w:rFonts w:ascii="宋体" w:hAnsi="宋体"/>
          <w:szCs w:val="20"/>
        </w:rPr>
        <w:t>申购费用＝5,000－</w:t>
      </w:r>
      <w:r>
        <w:rPr>
          <w:rFonts w:ascii="宋体" w:hAnsi="宋体" w:hint="eastAsia"/>
          <w:szCs w:val="20"/>
        </w:rPr>
        <w:t>4</w:t>
      </w:r>
      <w:r>
        <w:rPr>
          <w:rFonts w:ascii="宋体" w:hAnsi="宋体"/>
          <w:szCs w:val="20"/>
        </w:rPr>
        <w:t>,</w:t>
      </w:r>
      <w:r>
        <w:rPr>
          <w:rFonts w:ascii="宋体" w:hAnsi="宋体" w:hint="eastAsia"/>
          <w:szCs w:val="20"/>
        </w:rPr>
        <w:t>980.08</w:t>
      </w:r>
      <w:r>
        <w:rPr>
          <w:rFonts w:ascii="宋体" w:hAnsi="宋体"/>
          <w:szCs w:val="20"/>
        </w:rPr>
        <w:t>＝</w:t>
      </w:r>
      <w:r>
        <w:rPr>
          <w:rFonts w:ascii="宋体" w:hAnsi="宋体" w:hint="eastAsia"/>
          <w:szCs w:val="20"/>
        </w:rPr>
        <w:t>19.92</w:t>
      </w:r>
      <w:r>
        <w:rPr>
          <w:rFonts w:ascii="宋体" w:hAnsi="宋体"/>
          <w:szCs w:val="20"/>
        </w:rPr>
        <w:t>元</w:t>
      </w:r>
    </w:p>
    <w:p w14:paraId="4BEE30DF" w14:textId="77777777" w:rsidR="00706097" w:rsidRDefault="00DA6858">
      <w:pPr>
        <w:snapToGrid w:val="0"/>
        <w:spacing w:line="360" w:lineRule="auto"/>
        <w:ind w:firstLineChars="200" w:firstLine="420"/>
        <w:rPr>
          <w:rFonts w:ascii="宋体" w:hAnsi="宋体"/>
          <w:szCs w:val="20"/>
        </w:rPr>
      </w:pPr>
      <w:r>
        <w:rPr>
          <w:rFonts w:ascii="宋体" w:hAnsi="宋体"/>
          <w:szCs w:val="20"/>
        </w:rPr>
        <w:t>申购份额＝</w:t>
      </w:r>
      <w:r>
        <w:rPr>
          <w:rFonts w:ascii="宋体" w:hAnsi="宋体" w:hint="eastAsia"/>
          <w:szCs w:val="20"/>
        </w:rPr>
        <w:t>4</w:t>
      </w:r>
      <w:r>
        <w:rPr>
          <w:rFonts w:ascii="宋体" w:hAnsi="宋体"/>
          <w:szCs w:val="20"/>
        </w:rPr>
        <w:t>,</w:t>
      </w:r>
      <w:r>
        <w:rPr>
          <w:rFonts w:ascii="宋体" w:hAnsi="宋体" w:hint="eastAsia"/>
          <w:szCs w:val="20"/>
        </w:rPr>
        <w:t>980.08</w:t>
      </w:r>
      <w:r>
        <w:rPr>
          <w:rFonts w:ascii="宋体" w:hAnsi="宋体"/>
          <w:szCs w:val="20"/>
        </w:rPr>
        <w:t>/1.1280=</w:t>
      </w:r>
      <w:r>
        <w:rPr>
          <w:rFonts w:ascii="宋体" w:hAnsi="宋体" w:hint="eastAsia"/>
          <w:szCs w:val="20"/>
        </w:rPr>
        <w:t>4,414.96</w:t>
      </w:r>
      <w:r>
        <w:rPr>
          <w:rFonts w:ascii="宋体" w:hAnsi="宋体"/>
          <w:szCs w:val="20"/>
        </w:rPr>
        <w:t>份</w:t>
      </w:r>
    </w:p>
    <w:p w14:paraId="0BD5A7A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即：该投资者投资5,000元申购本基金A类基金份额，假设申购当日A类基金份额的基金份额净值为1.12</w:t>
      </w:r>
      <w:r>
        <w:rPr>
          <w:rFonts w:ascii="宋体" w:hAnsi="宋体"/>
          <w:szCs w:val="20"/>
        </w:rPr>
        <w:t>80</w:t>
      </w:r>
      <w:r>
        <w:rPr>
          <w:rFonts w:ascii="宋体" w:hAnsi="宋体" w:hint="eastAsia"/>
          <w:szCs w:val="20"/>
        </w:rPr>
        <w:t>元，则投资者可获得4,414.96份A类基金份额。</w:t>
      </w:r>
    </w:p>
    <w:p w14:paraId="1E8DF7A2"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例：某投资人投资</w:t>
      </w:r>
      <w:r>
        <w:rPr>
          <w:rFonts w:ascii="宋体" w:hAnsi="宋体"/>
          <w:szCs w:val="20"/>
        </w:rPr>
        <w:t>2,000</w:t>
      </w:r>
      <w:r>
        <w:rPr>
          <w:rFonts w:ascii="宋体" w:hAnsi="宋体" w:hint="eastAsia"/>
          <w:szCs w:val="20"/>
        </w:rPr>
        <w:t>元申购本基金</w:t>
      </w:r>
      <w:r>
        <w:rPr>
          <w:rFonts w:ascii="宋体" w:hAnsi="宋体"/>
          <w:szCs w:val="20"/>
        </w:rPr>
        <w:t>C</w:t>
      </w:r>
      <w:r>
        <w:rPr>
          <w:rFonts w:ascii="宋体" w:hAnsi="宋体" w:hint="eastAsia"/>
          <w:szCs w:val="20"/>
        </w:rPr>
        <w:t>类基金份额，假设申购当日</w:t>
      </w:r>
      <w:r>
        <w:rPr>
          <w:rFonts w:ascii="宋体" w:hAnsi="宋体"/>
          <w:szCs w:val="20"/>
        </w:rPr>
        <w:t>C</w:t>
      </w:r>
      <w:r>
        <w:rPr>
          <w:rFonts w:ascii="宋体" w:hAnsi="宋体" w:hint="eastAsia"/>
          <w:szCs w:val="20"/>
        </w:rPr>
        <w:t>类基金份额净值为</w:t>
      </w:r>
      <w:r>
        <w:rPr>
          <w:rFonts w:ascii="宋体" w:hAnsi="宋体"/>
          <w:szCs w:val="20"/>
        </w:rPr>
        <w:t>1.1280</w:t>
      </w:r>
      <w:r>
        <w:rPr>
          <w:rFonts w:ascii="宋体" w:hAnsi="宋体" w:hint="eastAsia"/>
          <w:szCs w:val="20"/>
        </w:rPr>
        <w:t>元，则其可得到的申购份额为：</w:t>
      </w:r>
    </w:p>
    <w:p w14:paraId="4761B148"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申购份额</w:t>
      </w:r>
      <w:r>
        <w:rPr>
          <w:rFonts w:ascii="宋体" w:hAnsi="宋体"/>
          <w:szCs w:val="20"/>
        </w:rPr>
        <w:t>=2,000/1.1280=1,773.05</w:t>
      </w:r>
      <w:r>
        <w:rPr>
          <w:rFonts w:ascii="宋体" w:hAnsi="宋体" w:hint="eastAsia"/>
          <w:szCs w:val="20"/>
        </w:rPr>
        <w:t>份</w:t>
      </w:r>
    </w:p>
    <w:p w14:paraId="09DAF02D"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即：该投资者投资</w:t>
      </w:r>
      <w:r>
        <w:rPr>
          <w:rFonts w:ascii="宋体" w:hAnsi="宋体"/>
          <w:szCs w:val="20"/>
        </w:rPr>
        <w:t>2,000</w:t>
      </w:r>
      <w:r>
        <w:rPr>
          <w:rFonts w:ascii="宋体" w:hAnsi="宋体" w:hint="eastAsia"/>
          <w:szCs w:val="20"/>
        </w:rPr>
        <w:t>元申购本基金C类基金份额，假设申购当日C类基金份额的基金份额净值为</w:t>
      </w:r>
      <w:r>
        <w:rPr>
          <w:rFonts w:ascii="宋体" w:hAnsi="宋体"/>
          <w:szCs w:val="20"/>
        </w:rPr>
        <w:t>1.1280</w:t>
      </w:r>
      <w:r>
        <w:rPr>
          <w:rFonts w:ascii="宋体" w:hAnsi="宋体" w:hint="eastAsia"/>
          <w:szCs w:val="20"/>
        </w:rPr>
        <w:t>元，则投资者可获得</w:t>
      </w:r>
      <w:r>
        <w:rPr>
          <w:rFonts w:ascii="宋体" w:hAnsi="宋体"/>
          <w:szCs w:val="20"/>
        </w:rPr>
        <w:t>1,773.05</w:t>
      </w:r>
      <w:r>
        <w:rPr>
          <w:rFonts w:ascii="宋体" w:hAnsi="宋体" w:hint="eastAsia"/>
          <w:szCs w:val="20"/>
        </w:rPr>
        <w:t>份C类基金份额。</w:t>
      </w:r>
    </w:p>
    <w:p w14:paraId="2F3C99BC"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例：某投资人投资</w:t>
      </w:r>
      <w:r>
        <w:rPr>
          <w:rFonts w:ascii="宋体" w:hAnsi="宋体"/>
          <w:szCs w:val="20"/>
        </w:rPr>
        <w:t>2,000</w:t>
      </w:r>
      <w:r>
        <w:rPr>
          <w:rFonts w:ascii="宋体" w:hAnsi="宋体" w:hint="eastAsia"/>
          <w:szCs w:val="20"/>
        </w:rPr>
        <w:t>元申购本基金</w:t>
      </w:r>
      <w:r>
        <w:rPr>
          <w:rFonts w:ascii="宋体" w:hAnsi="宋体"/>
          <w:szCs w:val="20"/>
        </w:rPr>
        <w:t>E</w:t>
      </w:r>
      <w:r>
        <w:rPr>
          <w:rFonts w:ascii="宋体" w:hAnsi="宋体" w:hint="eastAsia"/>
          <w:szCs w:val="20"/>
        </w:rPr>
        <w:t>类基金份额，假设申购当日</w:t>
      </w:r>
      <w:r>
        <w:rPr>
          <w:rFonts w:ascii="宋体" w:hAnsi="宋体"/>
          <w:szCs w:val="20"/>
        </w:rPr>
        <w:t>E</w:t>
      </w:r>
      <w:r>
        <w:rPr>
          <w:rFonts w:ascii="宋体" w:hAnsi="宋体" w:hint="eastAsia"/>
          <w:szCs w:val="20"/>
        </w:rPr>
        <w:t>类基金份额净值为</w:t>
      </w:r>
      <w:r>
        <w:rPr>
          <w:rFonts w:ascii="宋体" w:hAnsi="宋体"/>
          <w:szCs w:val="20"/>
        </w:rPr>
        <w:t>1.1280</w:t>
      </w:r>
      <w:r>
        <w:rPr>
          <w:rFonts w:ascii="宋体" w:hAnsi="宋体" w:hint="eastAsia"/>
          <w:szCs w:val="20"/>
        </w:rPr>
        <w:t>元，则其可得到的申购份额为：</w:t>
      </w:r>
    </w:p>
    <w:p w14:paraId="42E27B4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lastRenderedPageBreak/>
        <w:t>申购份额</w:t>
      </w:r>
      <w:r>
        <w:rPr>
          <w:rFonts w:ascii="宋体" w:hAnsi="宋体"/>
          <w:szCs w:val="20"/>
        </w:rPr>
        <w:t>=2,000/1.1280=1,773.05</w:t>
      </w:r>
      <w:r>
        <w:rPr>
          <w:rFonts w:ascii="宋体" w:hAnsi="宋体" w:hint="eastAsia"/>
          <w:szCs w:val="20"/>
        </w:rPr>
        <w:t>份</w:t>
      </w:r>
    </w:p>
    <w:p w14:paraId="05A0B65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即：该投资者投资</w:t>
      </w:r>
      <w:r>
        <w:rPr>
          <w:rFonts w:ascii="宋体" w:hAnsi="宋体"/>
          <w:szCs w:val="20"/>
        </w:rPr>
        <w:t>2,000</w:t>
      </w:r>
      <w:r>
        <w:rPr>
          <w:rFonts w:ascii="宋体" w:hAnsi="宋体" w:hint="eastAsia"/>
          <w:szCs w:val="20"/>
        </w:rPr>
        <w:t>元申购本基金</w:t>
      </w:r>
      <w:r>
        <w:rPr>
          <w:rFonts w:ascii="宋体" w:hAnsi="宋体"/>
          <w:szCs w:val="20"/>
        </w:rPr>
        <w:t>E</w:t>
      </w:r>
      <w:r>
        <w:rPr>
          <w:rFonts w:ascii="宋体" w:hAnsi="宋体" w:hint="eastAsia"/>
          <w:szCs w:val="20"/>
        </w:rPr>
        <w:t>类基金份额，假设申购当日</w:t>
      </w:r>
      <w:r>
        <w:rPr>
          <w:rFonts w:ascii="宋体" w:hAnsi="宋体"/>
          <w:szCs w:val="20"/>
        </w:rPr>
        <w:t>E</w:t>
      </w:r>
      <w:r>
        <w:rPr>
          <w:rFonts w:ascii="宋体" w:hAnsi="宋体" w:hint="eastAsia"/>
          <w:szCs w:val="20"/>
        </w:rPr>
        <w:t>类基金份额的基金份额净值为</w:t>
      </w:r>
      <w:r>
        <w:rPr>
          <w:rFonts w:ascii="宋体" w:hAnsi="宋体"/>
          <w:szCs w:val="20"/>
        </w:rPr>
        <w:t>1.1280</w:t>
      </w:r>
      <w:r>
        <w:rPr>
          <w:rFonts w:ascii="宋体" w:hAnsi="宋体" w:hint="eastAsia"/>
          <w:szCs w:val="20"/>
        </w:rPr>
        <w:t>元，则投资者可获得</w:t>
      </w:r>
      <w:r>
        <w:rPr>
          <w:rFonts w:ascii="宋体" w:hAnsi="宋体"/>
          <w:szCs w:val="20"/>
        </w:rPr>
        <w:t>1,773.05</w:t>
      </w:r>
      <w:r>
        <w:rPr>
          <w:rFonts w:ascii="宋体" w:hAnsi="宋体" w:hint="eastAsia"/>
          <w:szCs w:val="20"/>
        </w:rPr>
        <w:t>份</w:t>
      </w:r>
      <w:r>
        <w:rPr>
          <w:rFonts w:ascii="宋体" w:hAnsi="宋体"/>
          <w:szCs w:val="20"/>
        </w:rPr>
        <w:t>E</w:t>
      </w:r>
      <w:r>
        <w:rPr>
          <w:rFonts w:ascii="宋体" w:hAnsi="宋体" w:hint="eastAsia"/>
          <w:szCs w:val="20"/>
        </w:rPr>
        <w:t>类基金份额。</w:t>
      </w:r>
    </w:p>
    <w:p w14:paraId="018066D4" w14:textId="77777777" w:rsidR="00706097" w:rsidRDefault="00706097">
      <w:pPr>
        <w:snapToGrid w:val="0"/>
        <w:spacing w:line="360" w:lineRule="auto"/>
        <w:ind w:firstLineChars="200" w:firstLine="420"/>
        <w:rPr>
          <w:rFonts w:ascii="宋体" w:hAnsi="宋体"/>
          <w:szCs w:val="20"/>
        </w:rPr>
      </w:pPr>
    </w:p>
    <w:p w14:paraId="35F5751C" w14:textId="77777777" w:rsidR="00706097" w:rsidRDefault="00DA6858">
      <w:pPr>
        <w:snapToGrid w:val="0"/>
        <w:spacing w:line="360" w:lineRule="auto"/>
        <w:ind w:firstLineChars="200" w:firstLine="420"/>
        <w:rPr>
          <w:rFonts w:ascii="宋体" w:hAnsi="宋体"/>
          <w:szCs w:val="20"/>
        </w:rPr>
      </w:pPr>
      <w:r>
        <w:rPr>
          <w:rFonts w:ascii="宋体" w:hAnsi="宋体"/>
          <w:szCs w:val="20"/>
        </w:rPr>
        <w:t>2、基金赎回金额的计算</w:t>
      </w:r>
    </w:p>
    <w:p w14:paraId="249A7F74"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投资者在赎回基金份额需缴纳一定的赎回费用。计算公式如下：</w:t>
      </w:r>
    </w:p>
    <w:p w14:paraId="561840A2"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赎回金额＝赎回份额</w:t>
      </w:r>
      <w:r>
        <w:rPr>
          <w:rFonts w:ascii="宋体" w:hAnsi="宋体"/>
          <w:szCs w:val="20"/>
        </w:rPr>
        <w:t>×T</w:t>
      </w:r>
      <w:proofErr w:type="gramStart"/>
      <w:r>
        <w:rPr>
          <w:rFonts w:ascii="宋体" w:hAnsi="宋体" w:hint="eastAsia"/>
          <w:szCs w:val="20"/>
        </w:rPr>
        <w:t>日相应</w:t>
      </w:r>
      <w:proofErr w:type="gramEnd"/>
      <w:r>
        <w:rPr>
          <w:rFonts w:ascii="宋体" w:hAnsi="宋体" w:hint="eastAsia"/>
          <w:szCs w:val="20"/>
        </w:rPr>
        <w:t>类别份额的基金份额净值</w:t>
      </w:r>
    </w:p>
    <w:p w14:paraId="7B74693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赎回费＝赎回份额</w:t>
      </w:r>
      <w:r>
        <w:rPr>
          <w:rFonts w:ascii="宋体" w:hAnsi="宋体"/>
          <w:szCs w:val="20"/>
        </w:rPr>
        <w:t>×T</w:t>
      </w:r>
      <w:proofErr w:type="gramStart"/>
      <w:r>
        <w:rPr>
          <w:rFonts w:ascii="宋体" w:hAnsi="宋体" w:hint="eastAsia"/>
          <w:szCs w:val="20"/>
        </w:rPr>
        <w:t>日相应</w:t>
      </w:r>
      <w:proofErr w:type="gramEnd"/>
      <w:r>
        <w:rPr>
          <w:rFonts w:ascii="宋体" w:hAnsi="宋体" w:hint="eastAsia"/>
          <w:szCs w:val="20"/>
        </w:rPr>
        <w:t>类别份额的基金份额净值</w:t>
      </w:r>
      <w:r>
        <w:rPr>
          <w:rFonts w:ascii="宋体" w:hAnsi="宋体"/>
          <w:szCs w:val="20"/>
        </w:rPr>
        <w:t>×</w:t>
      </w:r>
      <w:r>
        <w:rPr>
          <w:rFonts w:ascii="宋体" w:hAnsi="宋体" w:hint="eastAsia"/>
          <w:szCs w:val="20"/>
        </w:rPr>
        <w:t>赎回费率</w:t>
      </w:r>
    </w:p>
    <w:p w14:paraId="3BF5E93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净赎回金额＝赎回金额－赎回费</w:t>
      </w:r>
    </w:p>
    <w:p w14:paraId="64014C61"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以上计算结果以四舍五入方式保留小数点后</w:t>
      </w:r>
      <w:r>
        <w:rPr>
          <w:rFonts w:ascii="宋体" w:hAnsi="宋体"/>
          <w:szCs w:val="20"/>
        </w:rPr>
        <w:t>2</w:t>
      </w:r>
      <w:r>
        <w:rPr>
          <w:rFonts w:ascii="宋体" w:hAnsi="宋体" w:hint="eastAsia"/>
          <w:szCs w:val="20"/>
        </w:rPr>
        <w:t>位，由此误差产生的收益或损失由基金财产承担。</w:t>
      </w:r>
    </w:p>
    <w:p w14:paraId="20DC1E2D"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例如：某基金份额持有人持有本基金</w:t>
      </w:r>
      <w:r>
        <w:rPr>
          <w:rFonts w:ascii="宋体" w:hAnsi="宋体"/>
          <w:szCs w:val="20"/>
        </w:rPr>
        <w:t>10,000</w:t>
      </w:r>
      <w:r>
        <w:rPr>
          <w:rFonts w:ascii="宋体" w:hAnsi="宋体" w:hint="eastAsia"/>
          <w:szCs w:val="20"/>
        </w:rPr>
        <w:t>份</w:t>
      </w:r>
      <w:r>
        <w:rPr>
          <w:rFonts w:ascii="宋体" w:hAnsi="宋体"/>
          <w:szCs w:val="20"/>
        </w:rPr>
        <w:t>A</w:t>
      </w:r>
      <w:r>
        <w:rPr>
          <w:rFonts w:ascii="宋体" w:hAnsi="宋体" w:hint="eastAsia"/>
          <w:szCs w:val="20"/>
        </w:rPr>
        <w:t>类/C类基金份额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天）决定赎回，对应的赎回费率为</w:t>
      </w:r>
      <w:r>
        <w:rPr>
          <w:rFonts w:ascii="宋体" w:hAnsi="宋体"/>
          <w:szCs w:val="20"/>
        </w:rPr>
        <w:t>0.10%</w:t>
      </w:r>
      <w:r>
        <w:rPr>
          <w:rFonts w:ascii="宋体" w:hAnsi="宋体" w:hint="eastAsia"/>
          <w:szCs w:val="20"/>
        </w:rPr>
        <w:t>，假设赎回当日</w:t>
      </w:r>
      <w:r>
        <w:rPr>
          <w:rFonts w:ascii="宋体" w:hAnsi="宋体"/>
          <w:szCs w:val="20"/>
        </w:rPr>
        <w:t>A</w:t>
      </w:r>
      <w:r>
        <w:rPr>
          <w:rFonts w:ascii="宋体" w:hAnsi="宋体" w:hint="eastAsia"/>
          <w:szCs w:val="20"/>
        </w:rPr>
        <w:t>类/C类基金份额的基金份额净值是</w:t>
      </w:r>
      <w:r>
        <w:rPr>
          <w:rFonts w:ascii="宋体" w:hAnsi="宋体"/>
          <w:szCs w:val="20"/>
        </w:rPr>
        <w:t>1.1480</w:t>
      </w:r>
      <w:r>
        <w:rPr>
          <w:rFonts w:ascii="宋体" w:hAnsi="宋体" w:hint="eastAsia"/>
          <w:szCs w:val="20"/>
        </w:rPr>
        <w:t>元，则可得到的净赎回金额为：</w:t>
      </w:r>
    </w:p>
    <w:p w14:paraId="377E5E45"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赎回总金额</w:t>
      </w:r>
      <w:r>
        <w:rPr>
          <w:rFonts w:ascii="宋体" w:hAnsi="宋体"/>
          <w:szCs w:val="20"/>
        </w:rPr>
        <w:t>=10,000×1.1480=11,480.00</w:t>
      </w:r>
      <w:r>
        <w:rPr>
          <w:rFonts w:ascii="宋体" w:hAnsi="宋体" w:hint="eastAsia"/>
          <w:szCs w:val="20"/>
        </w:rPr>
        <w:t>元</w:t>
      </w:r>
    </w:p>
    <w:p w14:paraId="05F34035"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赎回费</w:t>
      </w:r>
      <w:r>
        <w:rPr>
          <w:rFonts w:ascii="宋体" w:hAnsi="宋体"/>
          <w:szCs w:val="20"/>
        </w:rPr>
        <w:t>=11,480.00×0.10%=11.48</w:t>
      </w:r>
      <w:r>
        <w:rPr>
          <w:rFonts w:ascii="宋体" w:hAnsi="宋体" w:hint="eastAsia"/>
          <w:szCs w:val="20"/>
        </w:rPr>
        <w:t>元</w:t>
      </w:r>
    </w:p>
    <w:p w14:paraId="5FF2DB23"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净赎回金额</w:t>
      </w:r>
      <w:r>
        <w:rPr>
          <w:rFonts w:ascii="宋体" w:hAnsi="宋体"/>
          <w:szCs w:val="20"/>
        </w:rPr>
        <w:t>=11,480.00-11.48=11,468.52</w:t>
      </w:r>
      <w:r>
        <w:rPr>
          <w:rFonts w:ascii="宋体" w:hAnsi="宋体" w:hint="eastAsia"/>
          <w:szCs w:val="20"/>
        </w:rPr>
        <w:t>元</w:t>
      </w:r>
    </w:p>
    <w:p w14:paraId="02CDBC2A"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即：某基金份额持有人持有</w:t>
      </w:r>
      <w:r>
        <w:rPr>
          <w:rFonts w:ascii="宋体" w:hAnsi="宋体"/>
          <w:szCs w:val="20"/>
        </w:rPr>
        <w:t>10,000</w:t>
      </w:r>
      <w:r>
        <w:rPr>
          <w:rFonts w:ascii="宋体" w:hAnsi="宋体" w:hint="eastAsia"/>
          <w:szCs w:val="20"/>
        </w:rPr>
        <w:t>份本基金</w:t>
      </w:r>
      <w:r>
        <w:rPr>
          <w:rFonts w:ascii="宋体" w:hAnsi="宋体"/>
          <w:szCs w:val="20"/>
        </w:rPr>
        <w:t>A</w:t>
      </w:r>
      <w:r>
        <w:rPr>
          <w:rFonts w:ascii="宋体" w:hAnsi="宋体" w:hint="eastAsia"/>
          <w:szCs w:val="20"/>
        </w:rPr>
        <w:t>类/C类基金份额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天）赎回，假设赎回当日本基金</w:t>
      </w:r>
      <w:r>
        <w:rPr>
          <w:rFonts w:ascii="宋体" w:hAnsi="宋体"/>
          <w:szCs w:val="20"/>
        </w:rPr>
        <w:t>A</w:t>
      </w:r>
      <w:r>
        <w:rPr>
          <w:rFonts w:ascii="宋体" w:hAnsi="宋体" w:hint="eastAsia"/>
          <w:szCs w:val="20"/>
        </w:rPr>
        <w:t>类/C类基金份额的基金份额净值是</w:t>
      </w:r>
      <w:r>
        <w:rPr>
          <w:rFonts w:ascii="宋体" w:hAnsi="宋体"/>
          <w:szCs w:val="20"/>
        </w:rPr>
        <w:t>1.1480</w:t>
      </w:r>
      <w:r>
        <w:rPr>
          <w:rFonts w:ascii="宋体" w:hAnsi="宋体" w:hint="eastAsia"/>
          <w:szCs w:val="20"/>
        </w:rPr>
        <w:t>元，则可得到的净赎回金额为</w:t>
      </w:r>
      <w:r>
        <w:rPr>
          <w:rFonts w:ascii="宋体" w:hAnsi="宋体"/>
          <w:szCs w:val="20"/>
        </w:rPr>
        <w:t>11,468.52</w:t>
      </w:r>
      <w:r>
        <w:rPr>
          <w:rFonts w:ascii="宋体" w:hAnsi="宋体" w:hint="eastAsia"/>
          <w:szCs w:val="20"/>
        </w:rPr>
        <w:t>元。</w:t>
      </w:r>
    </w:p>
    <w:p w14:paraId="29B840B2"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例如：某基金份额持有人持有本基金</w:t>
      </w:r>
      <w:r>
        <w:rPr>
          <w:rFonts w:ascii="宋体" w:hAnsi="宋体"/>
          <w:szCs w:val="20"/>
        </w:rPr>
        <w:t>10,000</w:t>
      </w:r>
      <w:r>
        <w:rPr>
          <w:rFonts w:ascii="宋体" w:hAnsi="宋体" w:hint="eastAsia"/>
          <w:szCs w:val="20"/>
        </w:rPr>
        <w:t>份</w:t>
      </w:r>
      <w:r>
        <w:rPr>
          <w:rFonts w:ascii="宋体" w:hAnsi="宋体"/>
          <w:szCs w:val="20"/>
        </w:rPr>
        <w:t>E</w:t>
      </w:r>
      <w:r>
        <w:rPr>
          <w:rFonts w:ascii="宋体" w:hAnsi="宋体" w:hint="eastAsia"/>
          <w:szCs w:val="20"/>
        </w:rPr>
        <w:t>类基金份额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天）决定赎回，对应的赎回费率为</w:t>
      </w:r>
      <w:r>
        <w:rPr>
          <w:rFonts w:ascii="宋体" w:hAnsi="宋体"/>
          <w:szCs w:val="20"/>
        </w:rPr>
        <w:t>0</w:t>
      </w:r>
      <w:r>
        <w:rPr>
          <w:rFonts w:ascii="宋体" w:hAnsi="宋体" w:hint="eastAsia"/>
          <w:szCs w:val="20"/>
        </w:rPr>
        <w:t>，假设赎回当日</w:t>
      </w:r>
      <w:r>
        <w:rPr>
          <w:rFonts w:ascii="宋体" w:hAnsi="宋体"/>
          <w:szCs w:val="20"/>
        </w:rPr>
        <w:t>E</w:t>
      </w:r>
      <w:r>
        <w:rPr>
          <w:rFonts w:ascii="宋体" w:hAnsi="宋体" w:hint="eastAsia"/>
          <w:szCs w:val="20"/>
        </w:rPr>
        <w:t>类基金份额的基金份额净值是</w:t>
      </w:r>
      <w:r>
        <w:rPr>
          <w:rFonts w:ascii="宋体" w:hAnsi="宋体"/>
          <w:szCs w:val="20"/>
        </w:rPr>
        <w:t>1.1480</w:t>
      </w:r>
      <w:r>
        <w:rPr>
          <w:rFonts w:ascii="宋体" w:hAnsi="宋体" w:hint="eastAsia"/>
          <w:szCs w:val="20"/>
        </w:rPr>
        <w:t>元，则可得到的净赎回金额为：</w:t>
      </w:r>
    </w:p>
    <w:p w14:paraId="1C96B14E"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赎回总金额</w:t>
      </w:r>
      <w:r>
        <w:rPr>
          <w:rFonts w:ascii="宋体" w:hAnsi="宋体"/>
          <w:szCs w:val="20"/>
        </w:rPr>
        <w:t>=10,000×1.1480=11,480.00</w:t>
      </w:r>
      <w:r>
        <w:rPr>
          <w:rFonts w:ascii="宋体" w:hAnsi="宋体" w:hint="eastAsia"/>
          <w:szCs w:val="20"/>
        </w:rPr>
        <w:t>元</w:t>
      </w:r>
    </w:p>
    <w:p w14:paraId="5C1CB023"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赎回费</w:t>
      </w:r>
      <w:r>
        <w:rPr>
          <w:rFonts w:ascii="宋体" w:hAnsi="宋体"/>
          <w:szCs w:val="20"/>
        </w:rPr>
        <w:t>=11,480.00×0=0</w:t>
      </w:r>
      <w:r>
        <w:rPr>
          <w:rFonts w:ascii="宋体" w:hAnsi="宋体" w:hint="eastAsia"/>
          <w:szCs w:val="20"/>
        </w:rPr>
        <w:t>元</w:t>
      </w:r>
    </w:p>
    <w:p w14:paraId="539E0E66"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净赎回金额</w:t>
      </w:r>
      <w:r>
        <w:rPr>
          <w:rFonts w:ascii="宋体" w:hAnsi="宋体"/>
          <w:szCs w:val="20"/>
        </w:rPr>
        <w:t>=11,480.00-0=11,480.00</w:t>
      </w:r>
      <w:r>
        <w:rPr>
          <w:rFonts w:ascii="宋体" w:hAnsi="宋体" w:hint="eastAsia"/>
          <w:szCs w:val="20"/>
        </w:rPr>
        <w:t>元</w:t>
      </w:r>
    </w:p>
    <w:p w14:paraId="719B372B"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即：某基金份额持有人持有</w:t>
      </w:r>
      <w:r>
        <w:rPr>
          <w:rFonts w:ascii="宋体" w:hAnsi="宋体"/>
          <w:szCs w:val="20"/>
        </w:rPr>
        <w:t>10,000</w:t>
      </w:r>
      <w:r>
        <w:rPr>
          <w:rFonts w:ascii="宋体" w:hAnsi="宋体" w:hint="eastAsia"/>
          <w:szCs w:val="20"/>
        </w:rPr>
        <w:t>份本基金</w:t>
      </w:r>
      <w:r>
        <w:rPr>
          <w:rFonts w:ascii="宋体" w:hAnsi="宋体"/>
          <w:szCs w:val="20"/>
        </w:rPr>
        <w:t>E</w:t>
      </w:r>
      <w:r>
        <w:rPr>
          <w:rFonts w:ascii="宋体" w:hAnsi="宋体" w:hint="eastAsia"/>
          <w:szCs w:val="20"/>
        </w:rPr>
        <w:t>类基金份额</w:t>
      </w:r>
      <w:r>
        <w:rPr>
          <w:rFonts w:ascii="宋体" w:hAnsi="宋体"/>
          <w:szCs w:val="20"/>
        </w:rPr>
        <w:t>7</w:t>
      </w:r>
      <w:r>
        <w:rPr>
          <w:rFonts w:ascii="宋体" w:hAnsi="宋体" w:hint="eastAsia"/>
          <w:szCs w:val="20"/>
        </w:rPr>
        <w:t>天后（未满</w:t>
      </w:r>
      <w:r>
        <w:rPr>
          <w:rFonts w:ascii="宋体" w:hAnsi="宋体"/>
          <w:szCs w:val="20"/>
        </w:rPr>
        <w:t>30</w:t>
      </w:r>
      <w:r>
        <w:rPr>
          <w:rFonts w:ascii="宋体" w:hAnsi="宋体" w:hint="eastAsia"/>
          <w:szCs w:val="20"/>
        </w:rPr>
        <w:t>天）赎回，假设赎回当日本基金</w:t>
      </w:r>
      <w:r>
        <w:rPr>
          <w:rFonts w:ascii="宋体" w:hAnsi="宋体"/>
          <w:szCs w:val="20"/>
        </w:rPr>
        <w:t>E</w:t>
      </w:r>
      <w:r>
        <w:rPr>
          <w:rFonts w:ascii="宋体" w:hAnsi="宋体" w:hint="eastAsia"/>
          <w:szCs w:val="20"/>
        </w:rPr>
        <w:t>类基金份额的基金份额净值是</w:t>
      </w:r>
      <w:r>
        <w:rPr>
          <w:rFonts w:ascii="宋体" w:hAnsi="宋体"/>
          <w:szCs w:val="20"/>
        </w:rPr>
        <w:t>1.1480</w:t>
      </w:r>
      <w:r>
        <w:rPr>
          <w:rFonts w:ascii="宋体" w:hAnsi="宋体" w:hint="eastAsia"/>
          <w:szCs w:val="20"/>
        </w:rPr>
        <w:t>元，则可得到的净赎回金额为</w:t>
      </w:r>
      <w:r>
        <w:rPr>
          <w:rFonts w:ascii="宋体" w:hAnsi="宋体"/>
          <w:szCs w:val="20"/>
        </w:rPr>
        <w:t>11,480.00</w:t>
      </w:r>
      <w:r>
        <w:rPr>
          <w:rFonts w:ascii="宋体" w:hAnsi="宋体" w:hint="eastAsia"/>
          <w:szCs w:val="20"/>
        </w:rPr>
        <w:t>元。</w:t>
      </w:r>
    </w:p>
    <w:p w14:paraId="6AA05DD6"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3、基金份额净值的计算</w:t>
      </w:r>
    </w:p>
    <w:p w14:paraId="253CC644" w14:textId="77777777" w:rsidR="00706097" w:rsidRDefault="00DA6858">
      <w:pPr>
        <w:snapToGrid w:val="0"/>
        <w:spacing w:line="360" w:lineRule="auto"/>
        <w:ind w:firstLineChars="200" w:firstLine="420"/>
        <w:rPr>
          <w:rFonts w:ascii="宋体" w:hAnsi="宋体"/>
          <w:szCs w:val="20"/>
        </w:rPr>
      </w:pPr>
      <w:r>
        <w:rPr>
          <w:rFonts w:ascii="宋体" w:hAnsi="宋体"/>
          <w:szCs w:val="20"/>
        </w:rPr>
        <w:t>T</w:t>
      </w:r>
      <w:r>
        <w:rPr>
          <w:rFonts w:ascii="宋体" w:hAnsi="宋体" w:hint="eastAsia"/>
          <w:szCs w:val="20"/>
        </w:rPr>
        <w:t>日的各类基金份额净值在当天收市后计算，并在</w:t>
      </w:r>
      <w:r>
        <w:rPr>
          <w:rFonts w:ascii="宋体" w:hAnsi="宋体"/>
          <w:szCs w:val="20"/>
        </w:rPr>
        <w:t>T+1</w:t>
      </w:r>
      <w:r>
        <w:rPr>
          <w:rFonts w:ascii="宋体" w:hAnsi="宋体" w:hint="eastAsia"/>
          <w:szCs w:val="20"/>
        </w:rPr>
        <w:t>日公告。遇特殊情况，经履行适当程序，可以适当延迟计算或公告。计算公式为：</w:t>
      </w:r>
    </w:p>
    <w:p w14:paraId="278EEB48" w14:textId="77777777" w:rsidR="00706097" w:rsidRDefault="00DA6858">
      <w:pPr>
        <w:snapToGrid w:val="0"/>
        <w:spacing w:line="360" w:lineRule="auto"/>
        <w:ind w:firstLineChars="200" w:firstLine="420"/>
        <w:rPr>
          <w:rFonts w:ascii="宋体" w:hAnsi="宋体"/>
          <w:szCs w:val="20"/>
        </w:rPr>
      </w:pPr>
      <w:r>
        <w:rPr>
          <w:rFonts w:ascii="宋体" w:hAnsi="宋体"/>
          <w:szCs w:val="20"/>
        </w:rPr>
        <w:t>T</w:t>
      </w:r>
      <w:r>
        <w:rPr>
          <w:rFonts w:ascii="宋体" w:hAnsi="宋体" w:hint="eastAsia"/>
          <w:szCs w:val="20"/>
        </w:rPr>
        <w:t>日某类基金份额净值＝</w:t>
      </w:r>
      <w:r>
        <w:rPr>
          <w:rFonts w:ascii="宋体" w:hAnsi="宋体"/>
          <w:szCs w:val="20"/>
        </w:rPr>
        <w:t>T</w:t>
      </w:r>
      <w:r>
        <w:rPr>
          <w:rFonts w:ascii="宋体" w:hAnsi="宋体" w:hint="eastAsia"/>
          <w:szCs w:val="20"/>
        </w:rPr>
        <w:t>日该类基金份额的资产净值</w:t>
      </w:r>
      <w:r>
        <w:rPr>
          <w:rFonts w:ascii="宋体" w:hAnsi="宋体"/>
          <w:szCs w:val="20"/>
        </w:rPr>
        <w:t>/T</w:t>
      </w:r>
      <w:r>
        <w:rPr>
          <w:rFonts w:ascii="宋体" w:hAnsi="宋体" w:hint="eastAsia"/>
          <w:szCs w:val="20"/>
        </w:rPr>
        <w:t>日该类基金份额的基金份额余额数量</w:t>
      </w:r>
    </w:p>
    <w:p w14:paraId="30E4F50F"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lastRenderedPageBreak/>
        <w:t>本基金各类基金份额净值的计算，均保留到小数点后</w:t>
      </w:r>
      <w:r>
        <w:rPr>
          <w:rFonts w:ascii="宋体" w:hAnsi="宋体"/>
          <w:szCs w:val="20"/>
        </w:rPr>
        <w:t>4</w:t>
      </w:r>
      <w:r>
        <w:rPr>
          <w:rFonts w:ascii="宋体" w:hAnsi="宋体" w:hint="eastAsia"/>
          <w:szCs w:val="20"/>
        </w:rPr>
        <w:t>位，小数点后第</w:t>
      </w:r>
      <w:r>
        <w:rPr>
          <w:rFonts w:ascii="宋体" w:hAnsi="宋体"/>
          <w:szCs w:val="20"/>
        </w:rPr>
        <w:t>5</w:t>
      </w:r>
      <w:r>
        <w:rPr>
          <w:rFonts w:ascii="宋体" w:hAnsi="宋体" w:hint="eastAsia"/>
          <w:szCs w:val="20"/>
        </w:rPr>
        <w:t>位四舍五入，由此产生的收益或损失由基金财产承担。</w:t>
      </w:r>
    </w:p>
    <w:p w14:paraId="5A9A1A5D"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4、申购份额、余额的处理方式</w:t>
      </w:r>
    </w:p>
    <w:p w14:paraId="64F23A6C"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本基金申购的有效份额为净申购金额除以当日的基金份额净值，有效份额单位为份，上述计算结果均按四舍五入方法，保留到小数点后2位，由此产生的收益或损失由基金财产承担。</w:t>
      </w:r>
    </w:p>
    <w:p w14:paraId="3BB83CDE"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5、赎回金额的处理方式</w:t>
      </w:r>
    </w:p>
    <w:p w14:paraId="2603DF40"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本基金赎回金额为按实际确认的有效赎回份额乘以当日基金份额净值并扣除相应的费用，赎回金额单位为元。上述计算结果均按四舍五入方法，保留到小数点后2位，由此产生的收益或损失由基金财产承担。</w:t>
      </w:r>
    </w:p>
    <w:p w14:paraId="7D98627A" w14:textId="77777777" w:rsidR="00706097" w:rsidRDefault="00DA6858">
      <w:pPr>
        <w:snapToGrid w:val="0"/>
        <w:spacing w:line="360" w:lineRule="auto"/>
        <w:ind w:firstLineChars="200" w:firstLine="420"/>
        <w:rPr>
          <w:rFonts w:ascii="宋体" w:hAnsi="宋体"/>
          <w:szCs w:val="20"/>
        </w:rPr>
      </w:pPr>
      <w:r>
        <w:rPr>
          <w:rFonts w:ascii="宋体" w:hAnsi="宋体" w:hint="eastAsia"/>
          <w:szCs w:val="20"/>
        </w:rPr>
        <w:t>6、当本基金发生大额申购或赎回情形时，基金管理人可以采用摆动定价机制，以确保基金估值的公平性，具体处理原则与操作规范遵循相关法律法规以及监管部门、自律规则的规定。</w:t>
      </w:r>
    </w:p>
    <w:p w14:paraId="5A06E66B" w14:textId="77777777" w:rsidR="00706097" w:rsidRDefault="00706097">
      <w:pPr>
        <w:snapToGrid w:val="0"/>
        <w:spacing w:line="360" w:lineRule="auto"/>
        <w:ind w:firstLineChars="200" w:firstLine="420"/>
        <w:rPr>
          <w:rFonts w:ascii="宋体" w:hAnsi="宋体"/>
          <w:szCs w:val="21"/>
        </w:rPr>
      </w:pPr>
    </w:p>
    <w:p w14:paraId="55C279B3"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八、申购和赎回的登记</w:t>
      </w:r>
    </w:p>
    <w:p w14:paraId="20C3B846" w14:textId="77777777" w:rsidR="00706097" w:rsidRDefault="00DA6858">
      <w:pPr>
        <w:snapToGrid w:val="0"/>
        <w:spacing w:line="360" w:lineRule="auto"/>
        <w:ind w:firstLineChars="200" w:firstLine="420"/>
        <w:rPr>
          <w:rFonts w:ascii="宋体" w:hAnsi="宋体"/>
        </w:rPr>
      </w:pPr>
      <w:r>
        <w:rPr>
          <w:rFonts w:ascii="宋体" w:hAnsi="宋体" w:hint="eastAsia"/>
        </w:rPr>
        <w:t>投资</w:t>
      </w:r>
      <w:r>
        <w:rPr>
          <w:rFonts w:ascii="宋体" w:hAnsi="宋体"/>
          <w:szCs w:val="21"/>
        </w:rPr>
        <w:t>人</w:t>
      </w:r>
      <w:r>
        <w:rPr>
          <w:rFonts w:ascii="宋体" w:hAnsi="宋体" w:hint="eastAsia"/>
        </w:rPr>
        <w:t>申购基金成功后，基金登记机构在</w:t>
      </w:r>
      <w:r>
        <w:rPr>
          <w:rFonts w:ascii="宋体" w:hAnsi="宋体"/>
        </w:rPr>
        <w:t>T+1</w:t>
      </w:r>
      <w:r>
        <w:rPr>
          <w:rFonts w:ascii="宋体" w:hAnsi="宋体" w:hint="eastAsia"/>
        </w:rPr>
        <w:t>日为投资</w:t>
      </w:r>
      <w:r>
        <w:rPr>
          <w:rFonts w:ascii="宋体" w:hAnsi="宋体"/>
          <w:szCs w:val="21"/>
        </w:rPr>
        <w:t>人</w:t>
      </w:r>
      <w:r>
        <w:rPr>
          <w:rFonts w:ascii="宋体" w:hAnsi="宋体" w:hint="eastAsia"/>
        </w:rPr>
        <w:t>登记权益并办理登记手续，投资</w:t>
      </w:r>
      <w:r>
        <w:rPr>
          <w:rFonts w:ascii="宋体" w:hAnsi="宋体"/>
          <w:szCs w:val="21"/>
        </w:rPr>
        <w:t>人</w:t>
      </w:r>
      <w:r>
        <w:rPr>
          <w:rFonts w:ascii="宋体" w:hAnsi="宋体" w:hint="eastAsia"/>
        </w:rPr>
        <w:t>自</w:t>
      </w:r>
      <w:r>
        <w:rPr>
          <w:rFonts w:ascii="宋体" w:hAnsi="宋体"/>
        </w:rPr>
        <w:t>T+2</w:t>
      </w:r>
      <w:r>
        <w:rPr>
          <w:rFonts w:ascii="宋体" w:hAnsi="宋体" w:hint="eastAsia"/>
        </w:rPr>
        <w:t>日（含该日）后有权赎回该部分基金份额。</w:t>
      </w:r>
    </w:p>
    <w:p w14:paraId="0F810CA8" w14:textId="77777777" w:rsidR="00706097" w:rsidRDefault="00DA6858">
      <w:pPr>
        <w:snapToGrid w:val="0"/>
        <w:spacing w:line="360" w:lineRule="auto"/>
        <w:ind w:firstLineChars="200" w:firstLine="420"/>
        <w:rPr>
          <w:rFonts w:ascii="宋体" w:hAnsi="宋体"/>
        </w:rPr>
      </w:pPr>
      <w:r>
        <w:rPr>
          <w:rFonts w:ascii="宋体" w:hAnsi="宋体" w:hint="eastAsia"/>
        </w:rPr>
        <w:t>投资</w:t>
      </w:r>
      <w:r>
        <w:rPr>
          <w:rFonts w:ascii="宋体" w:hAnsi="宋体"/>
          <w:szCs w:val="21"/>
        </w:rPr>
        <w:t>人</w:t>
      </w:r>
      <w:r>
        <w:rPr>
          <w:rFonts w:ascii="宋体" w:hAnsi="宋体" w:hint="eastAsia"/>
        </w:rPr>
        <w:t>赎回基金成功后，基金登记机构在</w:t>
      </w:r>
      <w:r>
        <w:rPr>
          <w:rFonts w:ascii="宋体" w:hAnsi="宋体"/>
        </w:rPr>
        <w:t>T+1</w:t>
      </w:r>
      <w:r>
        <w:rPr>
          <w:rFonts w:ascii="宋体" w:hAnsi="宋体" w:hint="eastAsia"/>
        </w:rPr>
        <w:t>日为投资</w:t>
      </w:r>
      <w:r>
        <w:rPr>
          <w:rFonts w:ascii="宋体" w:hAnsi="宋体"/>
          <w:szCs w:val="21"/>
        </w:rPr>
        <w:t>人</w:t>
      </w:r>
      <w:r>
        <w:rPr>
          <w:rFonts w:ascii="宋体" w:hAnsi="宋体" w:hint="eastAsia"/>
        </w:rPr>
        <w:t>办理扣除权益的登记手续。</w:t>
      </w:r>
    </w:p>
    <w:p w14:paraId="64CF377C" w14:textId="77777777" w:rsidR="00706097" w:rsidRDefault="00DA6858">
      <w:pPr>
        <w:snapToGrid w:val="0"/>
        <w:spacing w:line="360" w:lineRule="auto"/>
        <w:ind w:firstLineChars="200" w:firstLine="420"/>
        <w:rPr>
          <w:rFonts w:ascii="宋体" w:hAnsi="宋体"/>
        </w:rPr>
      </w:pPr>
      <w:r>
        <w:rPr>
          <w:rFonts w:ascii="宋体" w:hAnsi="宋体" w:hint="eastAsia"/>
        </w:rPr>
        <w:t>基金管理人可以在法律法规允许的范围内，对上述登记办理时间进行调整，但不得实质影响投资</w:t>
      </w:r>
      <w:r>
        <w:rPr>
          <w:rFonts w:ascii="宋体" w:hAnsi="宋体"/>
          <w:szCs w:val="21"/>
        </w:rPr>
        <w:t>人</w:t>
      </w:r>
      <w:r>
        <w:rPr>
          <w:rFonts w:ascii="宋体" w:hAnsi="宋体" w:hint="eastAsia"/>
        </w:rPr>
        <w:t>的合法权益，并最迟于实施前</w:t>
      </w:r>
      <w:r>
        <w:rPr>
          <w:rFonts w:ascii="宋体" w:hAnsi="宋体" w:hint="eastAsia"/>
          <w:szCs w:val="21"/>
        </w:rPr>
        <w:t>依照《信息披露办法》的有关规定</w:t>
      </w:r>
      <w:r>
        <w:rPr>
          <w:rFonts w:ascii="宋体" w:hAnsi="宋体" w:hint="eastAsia"/>
        </w:rPr>
        <w:t>在指定媒介公告。</w:t>
      </w:r>
    </w:p>
    <w:p w14:paraId="7C90818F" w14:textId="77777777" w:rsidR="00706097" w:rsidRDefault="00706097">
      <w:pPr>
        <w:autoSpaceDE w:val="0"/>
        <w:autoSpaceDN w:val="0"/>
        <w:adjustRightInd w:val="0"/>
        <w:snapToGrid w:val="0"/>
        <w:spacing w:line="360" w:lineRule="auto"/>
        <w:ind w:firstLineChars="200" w:firstLine="420"/>
        <w:rPr>
          <w:rFonts w:ascii="宋体" w:hAnsi="宋体"/>
          <w:kern w:val="0"/>
          <w:szCs w:val="20"/>
        </w:rPr>
      </w:pPr>
    </w:p>
    <w:p w14:paraId="4EC7524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九、拒绝或暂停申购的情形及处理方式</w:t>
      </w:r>
    </w:p>
    <w:p w14:paraId="4FABFCB4"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发生下列情况时，基金管理人可拒绝或暂停接受投资人的申购申请：</w:t>
      </w:r>
    </w:p>
    <w:p w14:paraId="140A64DA"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1</w:t>
      </w:r>
      <w:r>
        <w:rPr>
          <w:rFonts w:ascii="宋体" w:hAnsi="宋体" w:hint="eastAsia"/>
          <w:bCs/>
          <w:szCs w:val="21"/>
        </w:rPr>
        <w:t>、因不可抗力导致基金无法正常运作。</w:t>
      </w:r>
    </w:p>
    <w:p w14:paraId="6DCBC267" w14:textId="77777777" w:rsidR="00706097" w:rsidRDefault="00DA6858">
      <w:pPr>
        <w:adjustRightInd w:val="0"/>
        <w:snapToGrid w:val="0"/>
        <w:spacing w:line="360" w:lineRule="auto"/>
        <w:ind w:firstLine="420"/>
        <w:rPr>
          <w:rFonts w:ascii="宋体" w:hAnsi="宋体"/>
          <w:bCs/>
          <w:szCs w:val="21"/>
          <w:u w:val="single"/>
        </w:rPr>
      </w:pPr>
      <w:r>
        <w:rPr>
          <w:rFonts w:ascii="宋体" w:hAnsi="宋体"/>
          <w:bCs/>
          <w:szCs w:val="21"/>
        </w:rPr>
        <w:t>2</w:t>
      </w:r>
      <w:r>
        <w:rPr>
          <w:rFonts w:ascii="宋体" w:hAnsi="宋体" w:hint="eastAsia"/>
          <w:bCs/>
          <w:szCs w:val="21"/>
        </w:rPr>
        <w:t>、发生基金合同规定的暂停基金资产估值情况时，基金管理人可暂停接受投资人的申购申请。</w:t>
      </w:r>
    </w:p>
    <w:p w14:paraId="3CEDE700"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3</w:t>
      </w:r>
      <w:r>
        <w:rPr>
          <w:rFonts w:ascii="宋体" w:hAnsi="宋体" w:hint="eastAsia"/>
          <w:bCs/>
          <w:szCs w:val="21"/>
        </w:rPr>
        <w:t>、证券交易所交易时间非正常停市</w:t>
      </w:r>
      <w:r>
        <w:rPr>
          <w:rFonts w:ascii="宋体" w:hAnsi="宋体"/>
          <w:bCs/>
          <w:szCs w:val="21"/>
        </w:rPr>
        <w:t>，导致基金管理人无法计算当日基金资产净值。</w:t>
      </w:r>
    </w:p>
    <w:p w14:paraId="0DC3AEF7"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4</w:t>
      </w:r>
      <w:r>
        <w:rPr>
          <w:rFonts w:ascii="宋体" w:hAnsi="宋体" w:hint="eastAsia"/>
          <w:bCs/>
          <w:szCs w:val="21"/>
        </w:rPr>
        <w:t>、接受某笔或某些申购申请可能会影响或损害现有基金份额持有人利益时。</w:t>
      </w:r>
    </w:p>
    <w:p w14:paraId="271BE38B"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5</w:t>
      </w:r>
      <w:r>
        <w:rPr>
          <w:rFonts w:ascii="宋体" w:hAnsi="宋体" w:hint="eastAsia"/>
          <w:bCs/>
          <w:szCs w:val="21"/>
        </w:rPr>
        <w:t>、基金资产规模过大，使基金管理人无法找到合适的投资品种，或其他可能对基金业绩产生负面影响，或发生其他损害现有基金份额持有人利益的情形。</w:t>
      </w:r>
    </w:p>
    <w:p w14:paraId="73F50C9B"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6、当前一估值日基金资产净值50%以上的资产出现无可参考的活跃市场价格且采用估值技术</w:t>
      </w:r>
      <w:proofErr w:type="gramStart"/>
      <w:r>
        <w:rPr>
          <w:rFonts w:ascii="宋体" w:hAnsi="宋体" w:hint="eastAsia"/>
          <w:bCs/>
          <w:szCs w:val="21"/>
        </w:rPr>
        <w:t>仍导致</w:t>
      </w:r>
      <w:proofErr w:type="gramEnd"/>
      <w:r>
        <w:rPr>
          <w:rFonts w:ascii="宋体" w:hAnsi="宋体" w:hint="eastAsia"/>
          <w:bCs/>
          <w:szCs w:val="21"/>
        </w:rPr>
        <w:t>公允价值存在重大不确定性时，经与基金托管人协商确认后，基金管理人应当暂停接受基金申购申请。</w:t>
      </w:r>
    </w:p>
    <w:p w14:paraId="1AF19098"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7、基金管理人、基金托管人、登记机构、销售机构、支付结算机构等因异常情况导致</w:t>
      </w:r>
      <w:r>
        <w:rPr>
          <w:rFonts w:ascii="宋体" w:hAnsi="宋体" w:hint="eastAsia"/>
          <w:bCs/>
          <w:szCs w:val="21"/>
        </w:rPr>
        <w:lastRenderedPageBreak/>
        <w:t>基金销售系统、基金销售支付结算系统、基金登记系统、基金会计系统等无法正常运行。</w:t>
      </w:r>
    </w:p>
    <w:p w14:paraId="4044DB7B"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8、在基金管理人就本基金的基金总规模、单日净申购比例、单一投资者单日和</w:t>
      </w:r>
      <w:r>
        <w:rPr>
          <w:rFonts w:ascii="宋体" w:hAnsi="宋体"/>
          <w:bCs/>
          <w:szCs w:val="21"/>
        </w:rPr>
        <w:t>/</w:t>
      </w:r>
      <w:r>
        <w:rPr>
          <w:rFonts w:ascii="宋体" w:hAnsi="宋体" w:hint="eastAsia"/>
          <w:bCs/>
          <w:szCs w:val="21"/>
        </w:rPr>
        <w:t>或单笔申购金额设置上限的情况下，接受某笔或某些申购申请超过前述某项或全部上限比例的。</w:t>
      </w:r>
    </w:p>
    <w:p w14:paraId="2CA4C35E"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9、基金管理人接受某笔或者某些申购申请有可能导致单一投资者持有基金份额的比例达到或者超过</w:t>
      </w:r>
      <w:r>
        <w:rPr>
          <w:rFonts w:ascii="宋体" w:hAnsi="宋体"/>
          <w:bCs/>
          <w:szCs w:val="21"/>
        </w:rPr>
        <w:t>50%</w:t>
      </w:r>
      <w:r>
        <w:rPr>
          <w:rFonts w:ascii="宋体" w:hAnsi="宋体" w:hint="eastAsia"/>
          <w:bCs/>
          <w:szCs w:val="21"/>
        </w:rPr>
        <w:t>，或者变相规避</w:t>
      </w:r>
      <w:r>
        <w:rPr>
          <w:rFonts w:ascii="宋体" w:hAnsi="宋体"/>
          <w:bCs/>
          <w:szCs w:val="21"/>
        </w:rPr>
        <w:t>50%</w:t>
      </w:r>
      <w:r>
        <w:rPr>
          <w:rFonts w:ascii="宋体" w:hAnsi="宋体" w:hint="eastAsia"/>
          <w:bCs/>
          <w:szCs w:val="21"/>
        </w:rPr>
        <w:t>集中度的情形。</w:t>
      </w:r>
    </w:p>
    <w:p w14:paraId="47E7C424"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10、法律法规规定或中国证监会认定的其他情形。</w:t>
      </w:r>
    </w:p>
    <w:p w14:paraId="215C6E80" w14:textId="77777777" w:rsidR="00706097" w:rsidRDefault="00DA6858">
      <w:pPr>
        <w:adjustRightInd w:val="0"/>
        <w:snapToGrid w:val="0"/>
        <w:spacing w:line="360" w:lineRule="auto"/>
        <w:ind w:firstLine="420"/>
        <w:rPr>
          <w:rFonts w:ascii="宋体" w:hAnsi="宋体"/>
          <w:szCs w:val="21"/>
        </w:rPr>
      </w:pPr>
      <w:bookmarkStart w:id="76" w:name="_Hlt70481650"/>
      <w:bookmarkEnd w:id="76"/>
      <w:r>
        <w:rPr>
          <w:rFonts w:ascii="宋体" w:hAnsi="宋体"/>
          <w:szCs w:val="21"/>
        </w:rPr>
        <w:t>发生上述第1、2、</w:t>
      </w:r>
      <w:r>
        <w:rPr>
          <w:rFonts w:ascii="宋体" w:hAnsi="宋体" w:hint="eastAsia"/>
          <w:szCs w:val="21"/>
        </w:rPr>
        <w:t>3</w:t>
      </w:r>
      <w:r>
        <w:rPr>
          <w:rFonts w:ascii="宋体" w:hAnsi="宋体"/>
          <w:szCs w:val="21"/>
        </w:rPr>
        <w:t>、5</w:t>
      </w:r>
      <w:r>
        <w:rPr>
          <w:rFonts w:ascii="宋体" w:hAnsi="宋体" w:hint="eastAsia"/>
          <w:szCs w:val="21"/>
        </w:rPr>
        <w:t>、6、7、</w:t>
      </w:r>
      <w:r>
        <w:rPr>
          <w:rFonts w:ascii="宋体" w:hAnsi="宋体"/>
          <w:szCs w:val="21"/>
        </w:rPr>
        <w:t>10项暂停申购情形</w:t>
      </w:r>
      <w:r>
        <w:rPr>
          <w:rFonts w:ascii="宋体" w:hAnsi="宋体" w:hint="eastAsia"/>
          <w:szCs w:val="21"/>
        </w:rPr>
        <w:t>之一</w:t>
      </w:r>
      <w:proofErr w:type="gramStart"/>
      <w:r>
        <w:rPr>
          <w:rFonts w:ascii="宋体" w:hAnsi="宋体" w:hint="eastAsia"/>
          <w:szCs w:val="21"/>
        </w:rPr>
        <w:t>且基金</w:t>
      </w:r>
      <w:proofErr w:type="gramEnd"/>
      <w:r>
        <w:rPr>
          <w:rFonts w:ascii="宋体" w:hAnsi="宋体" w:hint="eastAsia"/>
          <w:szCs w:val="21"/>
        </w:rPr>
        <w:t>管理人决定暂停接受投资人申购申请</w:t>
      </w:r>
      <w:r>
        <w:rPr>
          <w:rFonts w:ascii="宋体" w:hAnsi="宋体"/>
          <w:szCs w:val="21"/>
        </w:rPr>
        <w:t>时，基金管理人应当根据有关规定在指定媒介上刊登暂停申购公告。</w:t>
      </w:r>
      <w:r>
        <w:rPr>
          <w:rFonts w:ascii="宋体" w:hAnsi="宋体" w:hint="eastAsia"/>
          <w:szCs w:val="21"/>
        </w:rPr>
        <w:t>当发生上述第</w:t>
      </w:r>
      <w:r>
        <w:rPr>
          <w:rFonts w:ascii="宋体" w:hAnsi="宋体"/>
          <w:szCs w:val="21"/>
        </w:rPr>
        <w:t>8</w:t>
      </w:r>
      <w:r>
        <w:rPr>
          <w:rFonts w:ascii="宋体" w:hAnsi="宋体" w:hint="eastAsia"/>
          <w:szCs w:val="21"/>
        </w:rPr>
        <w:t>、</w:t>
      </w:r>
      <w:r>
        <w:rPr>
          <w:rFonts w:ascii="宋体" w:hAnsi="宋体"/>
          <w:szCs w:val="21"/>
        </w:rPr>
        <w:t>9</w:t>
      </w:r>
      <w:r>
        <w:rPr>
          <w:rFonts w:ascii="宋体" w:hAnsi="宋体" w:hint="eastAsia"/>
          <w:szCs w:val="21"/>
        </w:rPr>
        <w:t>项情形时，基金管理人可以采取比例确认等方式对该投资人的申购申请进行限制，基金管理人有权拒绝该等全部或者部分申购申请。</w:t>
      </w:r>
      <w:r>
        <w:rPr>
          <w:rFonts w:ascii="宋体" w:hAnsi="宋体"/>
          <w:szCs w:val="21"/>
        </w:rPr>
        <w:t>如果投资人的申购申请被拒绝，被拒绝的申购款项</w:t>
      </w:r>
      <w:r>
        <w:rPr>
          <w:rFonts w:ascii="宋体" w:hAnsi="宋体" w:hint="eastAsia"/>
          <w:szCs w:val="21"/>
        </w:rPr>
        <w:t>本金</w:t>
      </w:r>
      <w:r>
        <w:rPr>
          <w:rFonts w:ascii="宋体" w:hAnsi="宋体"/>
          <w:szCs w:val="21"/>
        </w:rPr>
        <w:t>将退还给投资人。在暂停申购的情况消除时，基金管理人应及时恢复申购业务的办理。</w:t>
      </w:r>
    </w:p>
    <w:p w14:paraId="7207DAAC" w14:textId="77777777" w:rsidR="00706097" w:rsidRDefault="00706097">
      <w:pPr>
        <w:snapToGrid w:val="0"/>
        <w:spacing w:line="360" w:lineRule="auto"/>
        <w:ind w:firstLineChars="200" w:firstLine="420"/>
        <w:rPr>
          <w:rFonts w:ascii="宋体" w:hAnsi="宋体"/>
          <w:szCs w:val="21"/>
        </w:rPr>
      </w:pPr>
    </w:p>
    <w:p w14:paraId="325CDED6"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十、暂停赎回或者延缓支付赎回款项的情形及处理方式</w:t>
      </w:r>
    </w:p>
    <w:p w14:paraId="2FDD9661" w14:textId="77777777" w:rsidR="00706097" w:rsidRDefault="00DA6858">
      <w:pPr>
        <w:adjustRightInd w:val="0"/>
        <w:snapToGrid w:val="0"/>
        <w:spacing w:line="360" w:lineRule="auto"/>
        <w:ind w:firstLine="420"/>
        <w:rPr>
          <w:rFonts w:ascii="宋体" w:hAnsi="宋体"/>
          <w:szCs w:val="21"/>
        </w:rPr>
      </w:pPr>
      <w:r>
        <w:rPr>
          <w:rFonts w:ascii="宋体" w:hAnsi="宋体"/>
          <w:szCs w:val="21"/>
        </w:rPr>
        <w:t>发生下列情形时，基金管理人可暂停接受投资人的赎回申请或延缓支付赎回款项：</w:t>
      </w:r>
    </w:p>
    <w:p w14:paraId="62DECA86"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因不可抗力导致基金管理人不能支付赎回款项。</w:t>
      </w:r>
    </w:p>
    <w:p w14:paraId="180C54DE"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2、发生基金合同规定的暂停基金资产估值情况时，基金管理人可暂停接受投资人的赎回申请或延缓支付赎回款项。</w:t>
      </w:r>
    </w:p>
    <w:p w14:paraId="2C20887D" w14:textId="77777777" w:rsidR="00706097" w:rsidRDefault="00DA6858">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、证券交易所</w:t>
      </w:r>
      <w:r>
        <w:rPr>
          <w:rFonts w:ascii="宋体" w:hAnsi="宋体"/>
          <w:szCs w:val="21"/>
        </w:rPr>
        <w:t>交易时间非正常停市，导致基金管理人无法计算当日基金资产净值。</w:t>
      </w:r>
    </w:p>
    <w:p w14:paraId="7720F3F4" w14:textId="77777777" w:rsidR="00706097" w:rsidRDefault="00DA6858">
      <w:pPr>
        <w:adjustRightInd w:val="0"/>
        <w:snapToGrid w:val="0"/>
        <w:spacing w:line="360" w:lineRule="auto"/>
        <w:ind w:firstLine="420"/>
        <w:rPr>
          <w:rFonts w:ascii="宋体" w:hAnsi="宋体"/>
          <w:szCs w:val="21"/>
        </w:rPr>
      </w:pPr>
      <w:r>
        <w:rPr>
          <w:rFonts w:ascii="宋体" w:hAnsi="宋体"/>
          <w:szCs w:val="21"/>
        </w:rPr>
        <w:t>4</w:t>
      </w:r>
      <w:r>
        <w:rPr>
          <w:rFonts w:ascii="宋体" w:hAnsi="宋体" w:hint="eastAsia"/>
          <w:szCs w:val="21"/>
        </w:rPr>
        <w:t>、连续两个或两个以上开放日发生巨额赎回。</w:t>
      </w:r>
    </w:p>
    <w:p w14:paraId="463BE1F5" w14:textId="77777777" w:rsidR="00706097" w:rsidRDefault="00DA6858">
      <w:pPr>
        <w:adjustRightInd w:val="0"/>
        <w:snapToGrid w:val="0"/>
        <w:spacing w:line="360" w:lineRule="auto"/>
        <w:ind w:firstLine="420"/>
        <w:rPr>
          <w:rFonts w:ascii="宋体" w:hAnsi="宋体"/>
          <w:szCs w:val="21"/>
        </w:rPr>
      </w:pPr>
      <w:r>
        <w:rPr>
          <w:rFonts w:ascii="宋体" w:hAnsi="宋体"/>
          <w:szCs w:val="21"/>
        </w:rPr>
        <w:t>5</w:t>
      </w:r>
      <w:r>
        <w:rPr>
          <w:rFonts w:ascii="宋体" w:hAnsi="宋体" w:hint="eastAsia"/>
          <w:szCs w:val="21"/>
        </w:rPr>
        <w:t>、基金管理人、基金托管人、登记机构、销售机构、支付结算机构等因异常情况导致基金销售系统、基金销售支付结算系统、基金登记系统、基金会计系统等无法正常运行。</w:t>
      </w:r>
    </w:p>
    <w:p w14:paraId="025859D6" w14:textId="77777777" w:rsidR="00706097" w:rsidRDefault="00DA6858">
      <w:pPr>
        <w:adjustRightInd w:val="0"/>
        <w:snapToGrid w:val="0"/>
        <w:spacing w:line="360" w:lineRule="auto"/>
        <w:ind w:firstLine="420"/>
        <w:rPr>
          <w:rFonts w:ascii="宋体" w:hAnsi="宋体"/>
          <w:szCs w:val="21"/>
        </w:rPr>
      </w:pPr>
      <w:r>
        <w:rPr>
          <w:rFonts w:ascii="宋体" w:hAnsi="宋体"/>
          <w:szCs w:val="21"/>
        </w:rPr>
        <w:t>6</w:t>
      </w:r>
      <w:r>
        <w:rPr>
          <w:rFonts w:ascii="宋体" w:hAnsi="宋体" w:hint="eastAsia"/>
          <w:szCs w:val="21"/>
        </w:rPr>
        <w:t>、发生继续接受赎回申请将损害现有基金份额持有人利益的情形时，基金管理人可暂停接受基金份额持有人的赎回申请。</w:t>
      </w:r>
    </w:p>
    <w:p w14:paraId="127B1474" w14:textId="77777777" w:rsidR="00706097" w:rsidRDefault="00DA6858">
      <w:pPr>
        <w:adjustRightInd w:val="0"/>
        <w:snapToGrid w:val="0"/>
        <w:spacing w:line="360" w:lineRule="auto"/>
        <w:ind w:firstLine="420"/>
        <w:rPr>
          <w:rFonts w:ascii="宋体" w:hAnsi="宋体"/>
          <w:szCs w:val="21"/>
        </w:rPr>
      </w:pPr>
      <w:r>
        <w:rPr>
          <w:rFonts w:ascii="宋体" w:hAnsi="宋体"/>
          <w:szCs w:val="21"/>
        </w:rPr>
        <w:t>7</w:t>
      </w:r>
      <w:r>
        <w:rPr>
          <w:rFonts w:ascii="宋体" w:hAnsi="宋体" w:hint="eastAsia"/>
          <w:szCs w:val="21"/>
        </w:rPr>
        <w:t>、当前一估值日基金资产净值50%以上的资产出现无可参考的活跃市场价格且采用估值技术</w:t>
      </w:r>
      <w:proofErr w:type="gramStart"/>
      <w:r>
        <w:rPr>
          <w:rFonts w:ascii="宋体" w:hAnsi="宋体" w:hint="eastAsia"/>
          <w:szCs w:val="21"/>
        </w:rPr>
        <w:t>仍导致</w:t>
      </w:r>
      <w:proofErr w:type="gramEnd"/>
      <w:r>
        <w:rPr>
          <w:rFonts w:ascii="宋体" w:hAnsi="宋体" w:hint="eastAsia"/>
          <w:szCs w:val="21"/>
        </w:rPr>
        <w:t>公允价值存在重大不确定性时，经与基金托管人协商确认后，基金管理人应当延缓支付赎回款项或暂停接受基金赎回申请。</w:t>
      </w:r>
    </w:p>
    <w:p w14:paraId="16CC51F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8、</w:t>
      </w:r>
      <w:r>
        <w:rPr>
          <w:rFonts w:ascii="宋体" w:hAnsi="宋体"/>
          <w:szCs w:val="21"/>
        </w:rPr>
        <w:t>法律法规规定或中国证监会认定的其他情形。</w:t>
      </w:r>
    </w:p>
    <w:p w14:paraId="3771B844" w14:textId="77777777" w:rsidR="00706097" w:rsidRDefault="00DA6858">
      <w:pPr>
        <w:snapToGrid w:val="0"/>
        <w:spacing w:line="360" w:lineRule="auto"/>
        <w:ind w:firstLineChars="200" w:firstLine="420"/>
        <w:rPr>
          <w:rFonts w:ascii="宋体" w:hAnsi="宋体"/>
          <w:bCs/>
          <w:szCs w:val="21"/>
        </w:rPr>
      </w:pPr>
      <w:r>
        <w:rPr>
          <w:rFonts w:ascii="宋体" w:hAnsi="宋体"/>
          <w:szCs w:val="21"/>
        </w:rPr>
        <w:t>发生上述情形</w:t>
      </w:r>
      <w:r>
        <w:rPr>
          <w:rFonts w:ascii="宋体" w:hAnsi="宋体" w:hint="eastAsia"/>
          <w:bCs/>
          <w:szCs w:val="21"/>
        </w:rPr>
        <w:t>之一</w:t>
      </w:r>
      <w:proofErr w:type="gramStart"/>
      <w:r>
        <w:rPr>
          <w:rFonts w:ascii="宋体" w:hAnsi="宋体" w:hint="eastAsia"/>
          <w:bCs/>
          <w:szCs w:val="21"/>
        </w:rPr>
        <w:t>且基金</w:t>
      </w:r>
      <w:proofErr w:type="gramEnd"/>
      <w:r>
        <w:rPr>
          <w:rFonts w:ascii="宋体" w:hAnsi="宋体" w:hint="eastAsia"/>
          <w:bCs/>
          <w:szCs w:val="21"/>
        </w:rPr>
        <w:t>管理人决定暂停赎回或延缓支付赎回款项</w:t>
      </w:r>
      <w:r>
        <w:rPr>
          <w:rFonts w:ascii="宋体" w:hAnsi="宋体"/>
          <w:szCs w:val="21"/>
        </w:rPr>
        <w:t>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0B6D761" w14:textId="77777777" w:rsidR="00706097" w:rsidRDefault="00706097">
      <w:pPr>
        <w:snapToGrid w:val="0"/>
        <w:spacing w:line="360" w:lineRule="auto"/>
        <w:rPr>
          <w:rFonts w:ascii="宋体" w:hAnsi="宋体"/>
          <w:szCs w:val="21"/>
        </w:rPr>
      </w:pPr>
    </w:p>
    <w:p w14:paraId="21717371"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十一、巨额赎回的情形及处理方式</w:t>
      </w:r>
    </w:p>
    <w:p w14:paraId="1866694E"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巨额赎回的认定</w:t>
      </w:r>
    </w:p>
    <w:p w14:paraId="2BE2921B" w14:textId="77777777" w:rsidR="00706097" w:rsidRDefault="00DA6858">
      <w:pPr>
        <w:adjustRightInd w:val="0"/>
        <w:snapToGrid w:val="0"/>
        <w:spacing w:line="360" w:lineRule="auto"/>
        <w:ind w:firstLine="420"/>
        <w:rPr>
          <w:rFonts w:ascii="宋体" w:hAnsi="宋体"/>
          <w:szCs w:val="21"/>
        </w:rPr>
      </w:pPr>
      <w:r>
        <w:rPr>
          <w:rFonts w:ascii="宋体" w:hAnsi="宋体"/>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宋体" w:hAnsi="宋体" w:hint="eastAsia"/>
          <w:szCs w:val="21"/>
        </w:rPr>
        <w:t>10%</w:t>
      </w:r>
      <w:r>
        <w:rPr>
          <w:rFonts w:ascii="宋体" w:hAnsi="宋体"/>
          <w:szCs w:val="21"/>
        </w:rPr>
        <w:t>，即认为是发生了巨额赎回。</w:t>
      </w:r>
    </w:p>
    <w:p w14:paraId="2E0BD533" w14:textId="77777777" w:rsidR="00706097" w:rsidRDefault="00DA6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巨额赎回的处理方式</w:t>
      </w:r>
    </w:p>
    <w:p w14:paraId="16FED2A2" w14:textId="77777777" w:rsidR="00706097" w:rsidRDefault="00DA6858">
      <w:pPr>
        <w:adjustRightInd w:val="0"/>
        <w:snapToGrid w:val="0"/>
        <w:spacing w:line="360" w:lineRule="auto"/>
        <w:ind w:firstLine="420"/>
        <w:rPr>
          <w:rFonts w:ascii="宋体" w:hAnsi="宋体"/>
          <w:szCs w:val="21"/>
        </w:rPr>
      </w:pPr>
      <w:r>
        <w:rPr>
          <w:rFonts w:ascii="宋体" w:hAnsi="宋体"/>
          <w:szCs w:val="21"/>
        </w:rPr>
        <w:t>当基金出现巨额赎回时，基金管理人可以根据基金当时的资产组合状况决定全额赎回或部分延期赎回。</w:t>
      </w:r>
    </w:p>
    <w:p w14:paraId="48E340CE" w14:textId="77777777" w:rsidR="00706097" w:rsidRDefault="00DA6858">
      <w:pPr>
        <w:adjustRightInd w:val="0"/>
        <w:snapToGrid w:val="0"/>
        <w:spacing w:line="360" w:lineRule="auto"/>
        <w:ind w:firstLine="420"/>
        <w:rPr>
          <w:rFonts w:ascii="宋体" w:hAnsi="宋体"/>
          <w:szCs w:val="21"/>
        </w:rPr>
      </w:pPr>
      <w:r>
        <w:rPr>
          <w:rFonts w:ascii="宋体" w:hAnsi="宋体"/>
          <w:szCs w:val="21"/>
        </w:rPr>
        <w:t>（1）全额赎回：当基金管理人认为有能力支付投资人的全部赎回申请时，按正常赎回程序执行。</w:t>
      </w:r>
    </w:p>
    <w:p w14:paraId="513A0244" w14:textId="77777777" w:rsidR="00706097" w:rsidRDefault="00DA6858">
      <w:pPr>
        <w:adjustRightInd w:val="0"/>
        <w:snapToGrid w:val="0"/>
        <w:spacing w:line="360" w:lineRule="auto"/>
        <w:ind w:firstLine="420"/>
        <w:rPr>
          <w:rFonts w:ascii="宋体" w:hAnsi="宋体"/>
          <w:szCs w:val="21"/>
        </w:rPr>
      </w:pPr>
      <w:r>
        <w:rPr>
          <w:rFonts w:ascii="宋体" w:hAnsi="宋体"/>
          <w:szCs w:val="21"/>
        </w:rPr>
        <w:t>（</w:t>
      </w:r>
      <w:r>
        <w:rPr>
          <w:rFonts w:ascii="宋体" w:hAnsi="宋体" w:hint="eastAsia"/>
          <w:szCs w:val="21"/>
        </w:rPr>
        <w:t>2</w:t>
      </w:r>
      <w:r>
        <w:rPr>
          <w:rFonts w:ascii="宋体" w:hAnsi="宋体"/>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宋体" w:hAnsi="宋体" w:hint="eastAsia"/>
          <w:szCs w:val="21"/>
        </w:rPr>
        <w:t>10%</w:t>
      </w:r>
      <w:r>
        <w:rPr>
          <w:rFonts w:ascii="宋体" w:hAnsi="宋体"/>
          <w:szCs w:val="21"/>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宋体" w:hAnsi="宋体"/>
          <w:szCs w:val="21"/>
        </w:rPr>
        <w:t>并以下</w:t>
      </w:r>
      <w:proofErr w:type="gramEnd"/>
      <w:r>
        <w:rPr>
          <w:rFonts w:ascii="宋体" w:hAnsi="宋体"/>
          <w:szCs w:val="21"/>
        </w:rPr>
        <w:t>一开放日</w:t>
      </w:r>
      <w:r>
        <w:rPr>
          <w:rFonts w:ascii="宋体" w:hAnsi="宋体" w:hint="eastAsia"/>
          <w:szCs w:val="21"/>
        </w:rPr>
        <w:t>该类别基金份额</w:t>
      </w:r>
      <w:r>
        <w:rPr>
          <w:rFonts w:ascii="宋体" w:hAnsi="宋体"/>
          <w:szCs w:val="21"/>
        </w:rPr>
        <w:t>的基金份额净值为基础计算赎回金额，以此类推，直到全部赎回为止。如投资人在提交赎回申请时未作明确选择，投资人未能赎回部分作自动延期赎回处理。</w:t>
      </w:r>
    </w:p>
    <w:p w14:paraId="3975C5F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（3）当基金发生巨额赎回，在单个基金份额持有人超过基金总份额</w:t>
      </w:r>
      <w:r>
        <w:rPr>
          <w:rFonts w:ascii="宋体" w:hAnsi="宋体"/>
          <w:szCs w:val="21"/>
        </w:rPr>
        <w:t>20%</w:t>
      </w:r>
      <w:r>
        <w:rPr>
          <w:rFonts w:ascii="宋体" w:hAnsi="宋体" w:hint="eastAsia"/>
          <w:szCs w:val="21"/>
        </w:rPr>
        <w:t>以上的赎回申请情形下，基金管理人对于其超过基金总份额</w:t>
      </w:r>
      <w:r>
        <w:rPr>
          <w:rFonts w:ascii="宋体" w:hAnsi="宋体"/>
          <w:szCs w:val="21"/>
        </w:rPr>
        <w:t>20%</w:t>
      </w:r>
      <w:r>
        <w:rPr>
          <w:rFonts w:ascii="宋体" w:hAnsi="宋体" w:hint="eastAsia"/>
          <w:szCs w:val="21"/>
        </w:rPr>
        <w:t>以上部分的赎回申请，可以实施延期办理，延期的赎回申请转入下一个开放日继续赎回，直到全部赎回为止。对于该类基金份额持有人未超过上述比例的部分，基金管理人</w:t>
      </w:r>
      <w:r>
        <w:rPr>
          <w:rFonts w:ascii="宋体" w:hAnsi="宋体"/>
          <w:szCs w:val="21"/>
        </w:rPr>
        <w:t>认为有能力支付投资人的全部赎回申请时，按正常赎回程序执行</w:t>
      </w:r>
      <w:r>
        <w:rPr>
          <w:rFonts w:ascii="宋体" w:hAnsi="宋体" w:hint="eastAsia"/>
          <w:szCs w:val="21"/>
        </w:rPr>
        <w:t>；</w:t>
      </w:r>
      <w:r>
        <w:rPr>
          <w:rFonts w:ascii="宋体" w:hAnsi="宋体"/>
          <w:szCs w:val="21"/>
        </w:rPr>
        <w:t>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宋体" w:hAnsi="宋体" w:hint="eastAsia"/>
          <w:szCs w:val="21"/>
        </w:rPr>
        <w:t>10%</w:t>
      </w:r>
      <w:r>
        <w:rPr>
          <w:rFonts w:ascii="宋体" w:hAnsi="宋体"/>
          <w:szCs w:val="21"/>
        </w:rPr>
        <w:t>的前提下，可对</w:t>
      </w:r>
      <w:r>
        <w:rPr>
          <w:rFonts w:ascii="宋体" w:hAnsi="宋体" w:hint="eastAsia"/>
          <w:szCs w:val="21"/>
        </w:rPr>
        <w:t>当日的</w:t>
      </w:r>
      <w:r>
        <w:rPr>
          <w:rFonts w:ascii="宋体" w:hAnsi="宋体"/>
          <w:szCs w:val="21"/>
        </w:rPr>
        <w:t>其余赎回</w:t>
      </w:r>
      <w:proofErr w:type="gramStart"/>
      <w:r>
        <w:rPr>
          <w:rFonts w:ascii="宋体" w:hAnsi="宋体"/>
          <w:szCs w:val="21"/>
        </w:rPr>
        <w:t>申请按</w:t>
      </w:r>
      <w:proofErr w:type="gramEnd"/>
      <w:r>
        <w:rPr>
          <w:rFonts w:ascii="宋体" w:hAnsi="宋体"/>
          <w:szCs w:val="21"/>
        </w:rPr>
        <w:t>单个账户赎回申请量占赎回申请总量的比例，确定当日受理的赎回份额；对于未能赎回部分，</w:t>
      </w:r>
      <w:r>
        <w:rPr>
          <w:rFonts w:ascii="宋体" w:hAnsi="宋体" w:hint="eastAsia"/>
          <w:szCs w:val="21"/>
        </w:rPr>
        <w:t>基金管理人可对其赎回申请进行延期办理，延期的赎回申请转入下一个开放日继续赎回，直到全部赎回为止。延期的赎回申请与下一开放日赎回申请一并处理，无优先权</w:t>
      </w:r>
      <w:proofErr w:type="gramStart"/>
      <w:r>
        <w:rPr>
          <w:rFonts w:ascii="宋体" w:hAnsi="宋体" w:hint="eastAsia"/>
          <w:szCs w:val="21"/>
        </w:rPr>
        <w:t>并以下</w:t>
      </w:r>
      <w:proofErr w:type="gramEnd"/>
      <w:r>
        <w:rPr>
          <w:rFonts w:ascii="宋体" w:hAnsi="宋体" w:hint="eastAsia"/>
          <w:szCs w:val="21"/>
        </w:rPr>
        <w:t>一开放日的该类基金份额的基金份额净值为基础计算赎回金额，以此类推，直到全部赎回为止。延期部分如</w:t>
      </w:r>
      <w:r>
        <w:rPr>
          <w:rFonts w:ascii="宋体" w:hAnsi="宋体"/>
          <w:szCs w:val="21"/>
        </w:rPr>
        <w:t>选择取消赎回的，当日未获受理的部分赎回申请将被撤销。如投资人在提交赎回申请时未作明确选择，投资人未能赎回部分作自动延期赎回处理。</w:t>
      </w:r>
    </w:p>
    <w:p w14:paraId="763877B5" w14:textId="77777777" w:rsidR="00706097" w:rsidRDefault="00DA6858">
      <w:pPr>
        <w:adjustRightInd w:val="0"/>
        <w:snapToGrid w:val="0"/>
        <w:spacing w:line="360" w:lineRule="auto"/>
        <w:ind w:firstLine="420"/>
        <w:rPr>
          <w:rFonts w:ascii="宋体" w:hAnsi="宋体"/>
          <w:szCs w:val="21"/>
        </w:rPr>
      </w:pPr>
      <w:r>
        <w:rPr>
          <w:rFonts w:ascii="宋体" w:hAnsi="宋体" w:hint="eastAsia"/>
          <w:bCs/>
          <w:szCs w:val="21"/>
        </w:rPr>
        <w:lastRenderedPageBreak/>
        <w:t>在不违反法律法规的前提下，基金管理人在履行适当程序后，有权根据当时市场环境调整前述比例及处理规则，并在指定媒介上进行公告。</w:t>
      </w:r>
    </w:p>
    <w:p w14:paraId="6F5558EE" w14:textId="77777777" w:rsidR="00706097" w:rsidRDefault="00DA6858">
      <w:pPr>
        <w:adjustRightInd w:val="0"/>
        <w:snapToGrid w:val="0"/>
        <w:spacing w:line="360" w:lineRule="auto"/>
        <w:ind w:firstLine="420"/>
        <w:rPr>
          <w:rFonts w:ascii="宋体" w:hAnsi="宋体"/>
          <w:szCs w:val="21"/>
        </w:rPr>
      </w:pPr>
      <w:r>
        <w:rPr>
          <w:rFonts w:ascii="宋体" w:hAnsi="宋体"/>
          <w:szCs w:val="21"/>
        </w:rPr>
        <w:t>（4）暂停赎回：连续</w:t>
      </w:r>
      <w:r>
        <w:rPr>
          <w:rFonts w:ascii="宋体" w:hAnsi="宋体" w:hint="eastAsia"/>
          <w:szCs w:val="21"/>
        </w:rPr>
        <w:t>2个开放</w:t>
      </w:r>
      <w:r>
        <w:rPr>
          <w:rFonts w:ascii="宋体" w:hAnsi="宋体"/>
          <w:szCs w:val="21"/>
        </w:rPr>
        <w:t>日以上(含本数)发生巨额赎回，如基金管理人认为有必要，可暂停接受基金的赎回申请；已经接受的赎回申请可以延缓支付赎回款项，但不得超过</w:t>
      </w:r>
      <w:r>
        <w:rPr>
          <w:rFonts w:ascii="宋体" w:hAnsi="宋体" w:hint="eastAsia"/>
          <w:szCs w:val="21"/>
        </w:rPr>
        <w:t>20</w:t>
      </w:r>
      <w:r>
        <w:rPr>
          <w:rFonts w:ascii="宋体" w:hAnsi="宋体"/>
          <w:szCs w:val="21"/>
        </w:rPr>
        <w:t>个工作日，并应当在指定媒介上进行公告。</w:t>
      </w:r>
    </w:p>
    <w:p w14:paraId="38419E2B" w14:textId="77777777" w:rsidR="00706097" w:rsidRDefault="00DA6858">
      <w:pPr>
        <w:adjustRightInd w:val="0"/>
        <w:snapToGrid w:val="0"/>
        <w:spacing w:line="360" w:lineRule="auto"/>
        <w:ind w:firstLine="420"/>
        <w:rPr>
          <w:rFonts w:ascii="宋体" w:hAnsi="宋体"/>
          <w:szCs w:val="21"/>
        </w:rPr>
      </w:pPr>
      <w:r>
        <w:rPr>
          <w:rFonts w:ascii="宋体" w:hAnsi="宋体"/>
          <w:szCs w:val="21"/>
        </w:rPr>
        <w:t>3</w:t>
      </w:r>
      <w:r>
        <w:rPr>
          <w:rFonts w:ascii="宋体" w:hAnsi="宋体" w:hint="eastAsia"/>
          <w:szCs w:val="21"/>
        </w:rPr>
        <w:t>、</w:t>
      </w:r>
      <w:r>
        <w:rPr>
          <w:rFonts w:ascii="宋体" w:hAnsi="宋体"/>
          <w:szCs w:val="21"/>
        </w:rPr>
        <w:t>巨额赎回的公告</w:t>
      </w:r>
    </w:p>
    <w:p w14:paraId="485DAD44" w14:textId="77777777" w:rsidR="00706097" w:rsidRDefault="00DA6858">
      <w:pPr>
        <w:snapToGrid w:val="0"/>
        <w:spacing w:line="360" w:lineRule="auto"/>
        <w:ind w:firstLineChars="200" w:firstLine="420"/>
        <w:rPr>
          <w:rFonts w:ascii="宋体" w:hAnsi="宋体"/>
          <w:szCs w:val="21"/>
        </w:rPr>
      </w:pPr>
      <w:r>
        <w:rPr>
          <w:rFonts w:ascii="宋体" w:hAnsi="宋体"/>
          <w:szCs w:val="21"/>
        </w:rPr>
        <w:t>当发生上述</w:t>
      </w:r>
      <w:r>
        <w:rPr>
          <w:rFonts w:ascii="宋体" w:hAnsi="宋体" w:hint="eastAsia"/>
          <w:szCs w:val="21"/>
        </w:rPr>
        <w:t>巨额</w:t>
      </w:r>
      <w:r>
        <w:rPr>
          <w:rFonts w:ascii="宋体" w:hAnsi="宋体"/>
          <w:szCs w:val="21"/>
        </w:rPr>
        <w:t>赎回并延期办理时，基金管理人应当通过邮寄、传真或者其他方式</w:t>
      </w:r>
      <w:r>
        <w:rPr>
          <w:rFonts w:ascii="宋体" w:hAnsi="宋体" w:hint="eastAsia"/>
          <w:bCs/>
          <w:szCs w:val="21"/>
        </w:rPr>
        <w:t>（包括但不限于短信、电子邮件或由基金销售机构通知等方式）</w:t>
      </w:r>
      <w:r>
        <w:rPr>
          <w:rFonts w:ascii="宋体" w:hAnsi="宋体"/>
          <w:szCs w:val="21"/>
        </w:rPr>
        <w:t>在</w:t>
      </w:r>
      <w:r>
        <w:rPr>
          <w:rFonts w:ascii="宋体" w:hAnsi="宋体" w:hint="eastAsia"/>
          <w:szCs w:val="21"/>
        </w:rPr>
        <w:t>3</w:t>
      </w:r>
      <w:r>
        <w:rPr>
          <w:rFonts w:ascii="宋体" w:hAnsi="宋体"/>
          <w:szCs w:val="21"/>
        </w:rPr>
        <w:t>个交易日内通知基金份额持有人，说明有关处理方法，并</w:t>
      </w:r>
      <w:r>
        <w:rPr>
          <w:rFonts w:ascii="宋体" w:hAnsi="宋体" w:hint="eastAsia"/>
          <w:szCs w:val="21"/>
        </w:rPr>
        <w:t>在2日内</w:t>
      </w:r>
      <w:r>
        <w:rPr>
          <w:rFonts w:ascii="宋体" w:hAnsi="宋体"/>
          <w:szCs w:val="21"/>
        </w:rPr>
        <w:t>在指定媒介上刊登公告。</w:t>
      </w:r>
    </w:p>
    <w:p w14:paraId="4CCCD4C8" w14:textId="77777777" w:rsidR="00706097" w:rsidRDefault="00706097">
      <w:pPr>
        <w:pStyle w:val="a9"/>
        <w:snapToGrid w:val="0"/>
        <w:ind w:firstLineChars="196" w:firstLine="413"/>
        <w:rPr>
          <w:rFonts w:ascii="宋体" w:hAnsi="宋体"/>
          <w:b/>
          <w:sz w:val="21"/>
          <w:szCs w:val="21"/>
        </w:rPr>
      </w:pPr>
    </w:p>
    <w:p w14:paraId="690BD6A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十二、</w:t>
      </w:r>
      <w:r>
        <w:rPr>
          <w:rFonts w:ascii="宋体" w:hAnsi="宋体"/>
          <w:b/>
          <w:sz w:val="21"/>
          <w:szCs w:val="21"/>
        </w:rPr>
        <w:t>暂停申购或赎回的公告和</w:t>
      </w:r>
      <w:r>
        <w:rPr>
          <w:rFonts w:ascii="宋体" w:hAnsi="宋体" w:hint="eastAsia"/>
          <w:b/>
          <w:sz w:val="21"/>
          <w:szCs w:val="21"/>
        </w:rPr>
        <w:t>重新开放申购或赎回的公告</w:t>
      </w:r>
    </w:p>
    <w:p w14:paraId="0636578E"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发生上述暂停申购或赎回情况的，基金管理人应在规定期限内在指定媒介上刊登暂停公告。</w:t>
      </w:r>
    </w:p>
    <w:p w14:paraId="6DC98D5E"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841447C" w14:textId="77777777" w:rsidR="00706097" w:rsidRDefault="00706097">
      <w:pPr>
        <w:snapToGrid w:val="0"/>
        <w:spacing w:line="360" w:lineRule="auto"/>
        <w:rPr>
          <w:rFonts w:ascii="宋体" w:hAnsi="宋体"/>
        </w:rPr>
      </w:pPr>
    </w:p>
    <w:p w14:paraId="2AED3445" w14:textId="77777777" w:rsidR="00706097" w:rsidRDefault="00DA6858">
      <w:pPr>
        <w:pStyle w:val="a9"/>
        <w:snapToGrid w:val="0"/>
        <w:ind w:firstLineChars="196" w:firstLine="413"/>
        <w:rPr>
          <w:rFonts w:ascii="宋体" w:hAnsi="宋体"/>
          <w:b/>
          <w:sz w:val="21"/>
          <w:szCs w:val="21"/>
        </w:rPr>
      </w:pPr>
      <w:r>
        <w:rPr>
          <w:rFonts w:ascii="宋体" w:hAnsi="宋体" w:hint="eastAsia"/>
          <w:b/>
          <w:sz w:val="21"/>
          <w:szCs w:val="21"/>
        </w:rPr>
        <w:t>十三、基金的转换</w:t>
      </w:r>
    </w:p>
    <w:p w14:paraId="68FB1222"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2F37EBE" w14:textId="77777777" w:rsidR="00706097" w:rsidRDefault="00706097">
      <w:pPr>
        <w:snapToGrid w:val="0"/>
        <w:spacing w:line="360" w:lineRule="auto"/>
        <w:ind w:firstLineChars="200" w:firstLine="420"/>
        <w:rPr>
          <w:rFonts w:ascii="宋体" w:hAnsi="宋体"/>
        </w:rPr>
      </w:pPr>
    </w:p>
    <w:p w14:paraId="5251F113"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四、</w:t>
      </w:r>
      <w:r>
        <w:rPr>
          <w:rFonts w:ascii="宋体" w:hAnsi="宋体"/>
          <w:b/>
          <w:bCs/>
          <w:szCs w:val="21"/>
        </w:rPr>
        <w:t>基金的</w:t>
      </w:r>
      <w:proofErr w:type="gramStart"/>
      <w:r>
        <w:rPr>
          <w:rFonts w:ascii="宋体" w:hAnsi="宋体"/>
          <w:b/>
          <w:bCs/>
          <w:szCs w:val="21"/>
        </w:rPr>
        <w:t>非交易</w:t>
      </w:r>
      <w:proofErr w:type="gramEnd"/>
      <w:r>
        <w:rPr>
          <w:rFonts w:ascii="宋体" w:hAnsi="宋体"/>
          <w:b/>
          <w:bCs/>
          <w:szCs w:val="21"/>
        </w:rPr>
        <w:t>过户</w:t>
      </w:r>
    </w:p>
    <w:p w14:paraId="2C9A4CA2"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基金的</w:t>
      </w:r>
      <w:proofErr w:type="gramStart"/>
      <w:r>
        <w:rPr>
          <w:rFonts w:ascii="宋体" w:hAnsi="宋体"/>
          <w:szCs w:val="21"/>
        </w:rPr>
        <w:t>非交易</w:t>
      </w:r>
      <w:proofErr w:type="gramEnd"/>
      <w:r>
        <w:rPr>
          <w:rFonts w:ascii="宋体" w:hAnsi="宋体"/>
          <w:szCs w:val="21"/>
        </w:rPr>
        <w:t>过户是指基金登记机构受理继承、捐赠和司法强制执行</w:t>
      </w:r>
      <w:r>
        <w:rPr>
          <w:rFonts w:ascii="宋体" w:hAnsi="宋体" w:hint="eastAsia"/>
          <w:szCs w:val="21"/>
        </w:rPr>
        <w:t>等情形</w:t>
      </w:r>
      <w:r>
        <w:rPr>
          <w:rFonts w:ascii="宋体" w:hAnsi="宋体"/>
          <w:szCs w:val="21"/>
        </w:rPr>
        <w:t>而产生的</w:t>
      </w:r>
      <w:proofErr w:type="gramStart"/>
      <w:r>
        <w:rPr>
          <w:rFonts w:ascii="宋体" w:hAnsi="宋体"/>
          <w:szCs w:val="21"/>
        </w:rPr>
        <w:t>非交易</w:t>
      </w:r>
      <w:proofErr w:type="gramEnd"/>
      <w:r>
        <w:rPr>
          <w:rFonts w:ascii="宋体" w:hAnsi="宋体"/>
          <w:szCs w:val="21"/>
        </w:rPr>
        <w:t>过户以及登记机构认可、符合法律法规的其</w:t>
      </w:r>
      <w:r>
        <w:rPr>
          <w:rFonts w:ascii="宋体" w:hAnsi="宋体" w:hint="eastAsia"/>
          <w:szCs w:val="21"/>
        </w:rPr>
        <w:t>它</w:t>
      </w:r>
      <w:proofErr w:type="gramStart"/>
      <w:r>
        <w:rPr>
          <w:rFonts w:ascii="宋体" w:hAnsi="宋体"/>
          <w:szCs w:val="21"/>
        </w:rPr>
        <w:t>非交易</w:t>
      </w:r>
      <w:proofErr w:type="gramEnd"/>
      <w:r>
        <w:rPr>
          <w:rFonts w:ascii="宋体" w:hAnsi="宋体"/>
          <w:szCs w:val="21"/>
        </w:rPr>
        <w:t>过户。无论在上述何种情况下，接受划转的主体必须是依法可以持有本</w:t>
      </w:r>
      <w:proofErr w:type="gramStart"/>
      <w:r>
        <w:rPr>
          <w:rFonts w:ascii="宋体" w:hAnsi="宋体"/>
          <w:szCs w:val="21"/>
        </w:rPr>
        <w:t>基金基金</w:t>
      </w:r>
      <w:proofErr w:type="gramEnd"/>
      <w:r>
        <w:rPr>
          <w:rFonts w:ascii="宋体" w:hAnsi="宋体"/>
          <w:szCs w:val="21"/>
        </w:rPr>
        <w:t>份额的投资人。</w:t>
      </w:r>
    </w:p>
    <w:p w14:paraId="367AAE75"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继承是指基金份额持有人死亡，其持有的基金份额由其合法的继承人继承；</w:t>
      </w:r>
      <w:proofErr w:type="gramStart"/>
      <w:r>
        <w:rPr>
          <w:rFonts w:ascii="宋体" w:hAnsi="宋体" w:hint="eastAsia"/>
          <w:szCs w:val="21"/>
        </w:rPr>
        <w:t>捐赠指</w:t>
      </w:r>
      <w:proofErr w:type="gramEnd"/>
      <w:r>
        <w:rPr>
          <w:rFonts w:ascii="宋体" w:hAnsi="宋体" w:hint="eastAsia"/>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Cs w:val="21"/>
        </w:rPr>
        <w:t>非交易</w:t>
      </w:r>
      <w:proofErr w:type="gramEnd"/>
      <w:r>
        <w:rPr>
          <w:rFonts w:ascii="宋体" w:hAnsi="宋体" w:hint="eastAsia"/>
          <w:szCs w:val="21"/>
        </w:rPr>
        <w:t>过户必须提供基金登记机构要求提供的相关资料，对于符合条件的</w:t>
      </w:r>
      <w:proofErr w:type="gramStart"/>
      <w:r>
        <w:rPr>
          <w:rFonts w:ascii="宋体" w:hAnsi="宋体" w:hint="eastAsia"/>
          <w:szCs w:val="21"/>
        </w:rPr>
        <w:t>非交易过户申请按</w:t>
      </w:r>
      <w:proofErr w:type="gramEnd"/>
      <w:r>
        <w:rPr>
          <w:rFonts w:ascii="宋体" w:hAnsi="宋体" w:hint="eastAsia"/>
          <w:szCs w:val="21"/>
        </w:rPr>
        <w:t>基金登记机构的规定办理，并按基金登记机构规定的标准收费。</w:t>
      </w:r>
    </w:p>
    <w:p w14:paraId="1B837C8C" w14:textId="77777777" w:rsidR="00706097" w:rsidRDefault="00706097">
      <w:pPr>
        <w:snapToGrid w:val="0"/>
        <w:spacing w:line="360" w:lineRule="auto"/>
        <w:ind w:firstLineChars="200" w:firstLine="420"/>
        <w:rPr>
          <w:rFonts w:ascii="宋体" w:hAnsi="宋体"/>
          <w:bCs/>
          <w:szCs w:val="21"/>
        </w:rPr>
      </w:pPr>
    </w:p>
    <w:p w14:paraId="1E4DC99F"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五、</w:t>
      </w:r>
      <w:r>
        <w:rPr>
          <w:rFonts w:ascii="宋体" w:hAnsi="宋体"/>
          <w:b/>
          <w:bCs/>
          <w:szCs w:val="21"/>
        </w:rPr>
        <w:t>基金的转托管</w:t>
      </w:r>
    </w:p>
    <w:p w14:paraId="293CAC8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基金份额持有人可办理已持有基金份额在不同销售机构之间的转托管，基金销售机构可</w:t>
      </w:r>
      <w:r>
        <w:rPr>
          <w:rFonts w:ascii="宋体" w:hAnsi="宋体"/>
          <w:bCs/>
          <w:szCs w:val="21"/>
        </w:rPr>
        <w:lastRenderedPageBreak/>
        <w:t>以按照规定的标准收取转托管费。</w:t>
      </w:r>
    </w:p>
    <w:p w14:paraId="17B3BA18" w14:textId="77777777" w:rsidR="00706097" w:rsidRDefault="00706097">
      <w:pPr>
        <w:snapToGrid w:val="0"/>
        <w:spacing w:line="360" w:lineRule="auto"/>
        <w:ind w:firstLineChars="200" w:firstLine="420"/>
        <w:rPr>
          <w:rFonts w:ascii="宋体" w:hAnsi="宋体"/>
          <w:bCs/>
          <w:szCs w:val="21"/>
        </w:rPr>
      </w:pPr>
    </w:p>
    <w:p w14:paraId="64F6F8A4"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六、定期定额投资</w:t>
      </w:r>
      <w:r>
        <w:rPr>
          <w:rFonts w:ascii="宋体" w:hAnsi="宋体"/>
          <w:b/>
          <w:bCs/>
          <w:szCs w:val="21"/>
        </w:rPr>
        <w:t>计划</w:t>
      </w:r>
    </w:p>
    <w:p w14:paraId="71ADA82E"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基金管理人可以为投资人办理</w:t>
      </w:r>
      <w:r>
        <w:rPr>
          <w:rFonts w:ascii="宋体" w:hAnsi="宋体" w:hint="eastAsia"/>
          <w:szCs w:val="21"/>
        </w:rPr>
        <w:t>定期定额投资</w:t>
      </w:r>
      <w:r>
        <w:rPr>
          <w:rFonts w:ascii="宋体" w:hAnsi="宋体"/>
          <w:szCs w:val="21"/>
        </w:rPr>
        <w:t>计划，具体规则由基金管理人另行规定。投资人在办理</w:t>
      </w:r>
      <w:r>
        <w:rPr>
          <w:rFonts w:ascii="宋体" w:hAnsi="宋体" w:hint="eastAsia"/>
          <w:szCs w:val="21"/>
        </w:rPr>
        <w:t>定期定额投资</w:t>
      </w:r>
      <w:r>
        <w:rPr>
          <w:rFonts w:ascii="宋体" w:hAnsi="宋体"/>
          <w:szCs w:val="21"/>
        </w:rPr>
        <w:t>计划时可自行约定每期</w:t>
      </w:r>
      <w:r>
        <w:rPr>
          <w:rFonts w:ascii="宋体" w:hAnsi="宋体" w:hint="eastAsia"/>
          <w:szCs w:val="21"/>
        </w:rPr>
        <w:t>扣款</w:t>
      </w:r>
      <w:r>
        <w:rPr>
          <w:rFonts w:ascii="宋体" w:hAnsi="宋体"/>
          <w:szCs w:val="21"/>
        </w:rPr>
        <w:t>金额，每期</w:t>
      </w:r>
      <w:r>
        <w:rPr>
          <w:rFonts w:ascii="宋体" w:hAnsi="宋体" w:hint="eastAsia"/>
          <w:szCs w:val="21"/>
        </w:rPr>
        <w:t>扣款</w:t>
      </w:r>
      <w:r>
        <w:rPr>
          <w:rFonts w:ascii="宋体" w:hAnsi="宋体"/>
          <w:szCs w:val="21"/>
        </w:rPr>
        <w:t>金额必须不低于基金管理人在相关公告或更新的招募说明书中所规定的</w:t>
      </w:r>
      <w:r>
        <w:rPr>
          <w:rFonts w:ascii="宋体" w:hAnsi="宋体" w:hint="eastAsia"/>
          <w:szCs w:val="21"/>
        </w:rPr>
        <w:t>定期定额投资</w:t>
      </w:r>
      <w:r>
        <w:rPr>
          <w:rFonts w:ascii="宋体" w:hAnsi="宋体"/>
          <w:szCs w:val="21"/>
        </w:rPr>
        <w:t>计划最低申购金额。</w:t>
      </w:r>
    </w:p>
    <w:p w14:paraId="2E19EF8A" w14:textId="77777777" w:rsidR="00706097" w:rsidRDefault="00706097">
      <w:pPr>
        <w:snapToGrid w:val="0"/>
        <w:spacing w:line="360" w:lineRule="auto"/>
        <w:ind w:firstLineChars="200" w:firstLine="420"/>
        <w:rPr>
          <w:rFonts w:ascii="宋体" w:hAnsi="宋体"/>
          <w:bCs/>
          <w:szCs w:val="21"/>
        </w:rPr>
      </w:pPr>
    </w:p>
    <w:p w14:paraId="34073A4E"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十</w:t>
      </w:r>
      <w:r>
        <w:rPr>
          <w:rFonts w:ascii="宋体" w:hAnsi="宋体" w:hint="eastAsia"/>
          <w:b/>
          <w:bCs/>
          <w:szCs w:val="21"/>
        </w:rPr>
        <w:t>七、</w:t>
      </w:r>
      <w:r>
        <w:rPr>
          <w:rFonts w:ascii="宋体" w:hAnsi="宋体"/>
          <w:b/>
          <w:bCs/>
          <w:szCs w:val="21"/>
        </w:rPr>
        <w:t>基金</w:t>
      </w:r>
      <w:r>
        <w:rPr>
          <w:rFonts w:ascii="宋体" w:hAnsi="宋体" w:hint="eastAsia"/>
          <w:b/>
          <w:bCs/>
          <w:szCs w:val="21"/>
        </w:rPr>
        <w:t>份额</w:t>
      </w:r>
      <w:r>
        <w:rPr>
          <w:rFonts w:ascii="宋体" w:hAnsi="宋体"/>
          <w:b/>
          <w:bCs/>
          <w:szCs w:val="21"/>
        </w:rPr>
        <w:t>的冻结和解冻</w:t>
      </w:r>
    </w:p>
    <w:p w14:paraId="14548C85"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基金登记机构只受理国家有权机关依法要求的基金份额的冻结与解冻，以及登记机构认可、符合法律法规的其他情况下的冻结与解冻。</w:t>
      </w:r>
    </w:p>
    <w:p w14:paraId="0A9F770D" w14:textId="77777777" w:rsidR="00706097" w:rsidRDefault="00706097">
      <w:pPr>
        <w:snapToGrid w:val="0"/>
        <w:spacing w:line="360" w:lineRule="auto"/>
        <w:ind w:firstLineChars="200" w:firstLine="420"/>
        <w:rPr>
          <w:rFonts w:ascii="宋体" w:hAnsi="宋体"/>
          <w:bCs/>
          <w:szCs w:val="21"/>
        </w:rPr>
      </w:pPr>
    </w:p>
    <w:p w14:paraId="22A6F20F"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十八、基金份额的转让</w:t>
      </w:r>
    </w:p>
    <w:p w14:paraId="79A0F619" w14:textId="77777777" w:rsidR="00706097" w:rsidRDefault="00DA6858">
      <w:pPr>
        <w:snapToGrid w:val="0"/>
        <w:spacing w:line="360" w:lineRule="auto"/>
        <w:ind w:firstLineChars="200" w:firstLine="420"/>
        <w:rPr>
          <w:rFonts w:ascii="宋体" w:hAnsi="宋体"/>
          <w:szCs w:val="21"/>
        </w:rPr>
      </w:pPr>
      <w:r>
        <w:rPr>
          <w:rFonts w:ascii="宋体" w:hAnsi="宋体" w:hint="eastAsia"/>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F0E1651" w14:textId="77777777" w:rsidR="00706097" w:rsidRDefault="00706097">
      <w:pPr>
        <w:snapToGrid w:val="0"/>
        <w:spacing w:line="360" w:lineRule="auto"/>
        <w:ind w:firstLineChars="200" w:firstLine="420"/>
        <w:rPr>
          <w:rFonts w:ascii="宋体" w:hAnsi="宋体"/>
          <w:bCs/>
          <w:szCs w:val="21"/>
        </w:rPr>
      </w:pPr>
    </w:p>
    <w:p w14:paraId="4A7AF75E"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十九、实施</w:t>
      </w:r>
      <w:proofErr w:type="gramStart"/>
      <w:r>
        <w:rPr>
          <w:rFonts w:ascii="宋体" w:hAnsi="宋体" w:hint="eastAsia"/>
          <w:b/>
          <w:bCs/>
          <w:szCs w:val="21"/>
        </w:rPr>
        <w:t>侧袋机制</w:t>
      </w:r>
      <w:proofErr w:type="gramEnd"/>
      <w:r>
        <w:rPr>
          <w:rFonts w:ascii="宋体" w:hAnsi="宋体" w:hint="eastAsia"/>
          <w:b/>
          <w:bCs/>
          <w:szCs w:val="21"/>
        </w:rPr>
        <w:t>期间本基金的申购与赎回</w:t>
      </w:r>
    </w:p>
    <w:p w14:paraId="6A70B819"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本基金实施</w:t>
      </w:r>
      <w:proofErr w:type="gramStart"/>
      <w:r>
        <w:rPr>
          <w:rFonts w:ascii="宋体" w:hAnsi="宋体" w:hint="eastAsia"/>
          <w:b/>
          <w:bCs/>
          <w:szCs w:val="21"/>
        </w:rPr>
        <w:t>侧袋机制</w:t>
      </w:r>
      <w:proofErr w:type="gramEnd"/>
      <w:r>
        <w:rPr>
          <w:rFonts w:ascii="宋体" w:hAnsi="宋体" w:hint="eastAsia"/>
          <w:b/>
          <w:bCs/>
          <w:szCs w:val="21"/>
        </w:rPr>
        <w:t>的，本基金的申购和赎回安排详见本招募说明书“侧袋机制”章节或相关公告。</w:t>
      </w:r>
    </w:p>
    <w:p w14:paraId="015386F4" w14:textId="77777777" w:rsidR="00706097" w:rsidRDefault="00706097">
      <w:pPr>
        <w:snapToGrid w:val="0"/>
        <w:spacing w:line="360" w:lineRule="auto"/>
        <w:ind w:firstLineChars="200" w:firstLine="422"/>
        <w:rPr>
          <w:rFonts w:ascii="宋体" w:hAnsi="宋体"/>
          <w:b/>
          <w:bCs/>
          <w:szCs w:val="21"/>
        </w:rPr>
      </w:pPr>
    </w:p>
    <w:p w14:paraId="7C6CF962"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二十、其他业务</w:t>
      </w:r>
    </w:p>
    <w:p w14:paraId="7BA80E0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在相关法律法规允许的条件下，基金登记机构可依据其业务规则，受理基金份额质押等业务，并收取一定的手续费用。</w:t>
      </w:r>
    </w:p>
    <w:p w14:paraId="792EF76F" w14:textId="77777777" w:rsidR="00706097" w:rsidRDefault="00DA6858">
      <w:pPr>
        <w:pStyle w:val="ab"/>
        <w:snapToGrid w:val="0"/>
        <w:spacing w:line="360" w:lineRule="auto"/>
        <w:ind w:firstLineChars="200"/>
        <w:rPr>
          <w:rFonts w:ascii="宋体" w:hAnsi="宋体"/>
          <w:szCs w:val="24"/>
        </w:rPr>
      </w:pPr>
      <w:r>
        <w:rPr>
          <w:rFonts w:ascii="宋体" w:hAnsi="宋体"/>
        </w:rPr>
        <w:br w:type="page"/>
      </w:r>
    </w:p>
    <w:p w14:paraId="19D755E3" w14:textId="77777777" w:rsidR="00706097" w:rsidRDefault="00DA6858">
      <w:pPr>
        <w:pStyle w:val="21"/>
        <w:numPr>
          <w:ilvl w:val="0"/>
          <w:numId w:val="28"/>
        </w:numPr>
        <w:snapToGrid w:val="0"/>
        <w:spacing w:before="0" w:after="0" w:line="360" w:lineRule="auto"/>
        <w:jc w:val="left"/>
        <w:rPr>
          <w:rFonts w:ascii="宋体" w:eastAsia="宋体" w:hAnsi="宋体"/>
        </w:rPr>
      </w:pPr>
      <w:bookmarkStart w:id="77" w:name="_Toc360793853"/>
      <w:bookmarkStart w:id="78" w:name="_Toc360794411"/>
      <w:bookmarkStart w:id="79" w:name="_Toc362455186"/>
      <w:bookmarkStart w:id="80" w:name="_Toc76483011"/>
      <w:bookmarkStart w:id="81" w:name="_Toc360794519"/>
      <w:bookmarkStart w:id="82" w:name="_Toc360793501"/>
      <w:bookmarkStart w:id="83" w:name="_Toc360794103"/>
      <w:bookmarkStart w:id="84" w:name="_Toc362533458"/>
      <w:r>
        <w:rPr>
          <w:rFonts w:ascii="宋体" w:eastAsia="宋体" w:hAnsi="宋体" w:hint="eastAsia"/>
        </w:rPr>
        <w:lastRenderedPageBreak/>
        <w:t>基金的投资</w:t>
      </w:r>
      <w:bookmarkEnd w:id="77"/>
      <w:bookmarkEnd w:id="78"/>
      <w:bookmarkEnd w:id="79"/>
      <w:bookmarkEnd w:id="80"/>
      <w:bookmarkEnd w:id="81"/>
      <w:bookmarkEnd w:id="82"/>
      <w:bookmarkEnd w:id="83"/>
      <w:bookmarkEnd w:id="84"/>
    </w:p>
    <w:p w14:paraId="7506A2FA" w14:textId="77777777" w:rsidR="00706097" w:rsidRDefault="00706097">
      <w:pPr>
        <w:snapToGrid w:val="0"/>
        <w:spacing w:line="360" w:lineRule="auto"/>
        <w:ind w:firstLineChars="200" w:firstLine="422"/>
        <w:rPr>
          <w:rFonts w:ascii="宋体" w:hAnsi="宋体"/>
          <w:b/>
          <w:bCs/>
          <w:szCs w:val="21"/>
        </w:rPr>
      </w:pPr>
    </w:p>
    <w:p w14:paraId="1AA755E5"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一、投资目标</w:t>
      </w:r>
    </w:p>
    <w:p w14:paraId="2096FC73" w14:textId="77777777" w:rsidR="00706097" w:rsidRDefault="00DA6858">
      <w:pPr>
        <w:adjustRightInd w:val="0"/>
        <w:snapToGrid w:val="0"/>
        <w:spacing w:line="360" w:lineRule="auto"/>
        <w:ind w:firstLine="420"/>
        <w:rPr>
          <w:bCs/>
          <w:szCs w:val="21"/>
        </w:rPr>
      </w:pPr>
      <w:r>
        <w:rPr>
          <w:bCs/>
          <w:szCs w:val="21"/>
        </w:rPr>
        <w:t>本基金力争在保持投资组合较高流动性的前提下，获取超越业绩比较基准的</w:t>
      </w:r>
      <w:r>
        <w:rPr>
          <w:bCs/>
          <w:szCs w:val="21"/>
        </w:rPr>
        <w:t xml:space="preserve"> </w:t>
      </w:r>
      <w:r>
        <w:rPr>
          <w:bCs/>
          <w:szCs w:val="21"/>
        </w:rPr>
        <w:t>投资回报。</w:t>
      </w:r>
    </w:p>
    <w:p w14:paraId="5B5F7B7A" w14:textId="77777777" w:rsidR="00706097" w:rsidRDefault="00706097">
      <w:pPr>
        <w:snapToGrid w:val="0"/>
        <w:spacing w:line="360" w:lineRule="auto"/>
        <w:ind w:firstLineChars="200" w:firstLine="422"/>
        <w:rPr>
          <w:rFonts w:ascii="宋体" w:hAnsi="宋体"/>
          <w:b/>
          <w:bCs/>
          <w:szCs w:val="21"/>
        </w:rPr>
      </w:pPr>
    </w:p>
    <w:p w14:paraId="7910DDE5"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二、投资范围</w:t>
      </w:r>
    </w:p>
    <w:p w14:paraId="171D8D9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本基金投资于具有良好流动性的金融工具，包括债券（包括国债、地方政府债、央行票据、金融债、企业债、公司债、中期票据、短期融资</w:t>
      </w:r>
      <w:proofErr w:type="gramStart"/>
      <w:r>
        <w:rPr>
          <w:rFonts w:ascii="宋体" w:hAnsi="宋体"/>
          <w:bCs/>
          <w:szCs w:val="21"/>
        </w:rPr>
        <w:t>券</w:t>
      </w:r>
      <w:proofErr w:type="gramEnd"/>
      <w:r>
        <w:rPr>
          <w:rFonts w:ascii="宋体" w:hAnsi="宋体"/>
          <w:bCs/>
          <w:szCs w:val="21"/>
        </w:rPr>
        <w:t>、超短期融资</w:t>
      </w:r>
      <w:proofErr w:type="gramStart"/>
      <w:r>
        <w:rPr>
          <w:rFonts w:ascii="宋体" w:hAnsi="宋体"/>
          <w:bCs/>
          <w:szCs w:val="21"/>
        </w:rPr>
        <w:t>券</w:t>
      </w:r>
      <w:proofErr w:type="gramEnd"/>
      <w:r>
        <w:rPr>
          <w:rFonts w:ascii="宋体" w:hAnsi="宋体"/>
          <w:bCs/>
          <w:szCs w:val="21"/>
        </w:rPr>
        <w:t>、公开发行的次级债、可分离交易可转债的</w:t>
      </w:r>
      <w:proofErr w:type="gramStart"/>
      <w:r>
        <w:rPr>
          <w:rFonts w:ascii="宋体" w:hAnsi="宋体"/>
          <w:bCs/>
          <w:szCs w:val="21"/>
        </w:rPr>
        <w:t>纯债部分</w:t>
      </w:r>
      <w:proofErr w:type="gramEnd"/>
      <w:r>
        <w:rPr>
          <w:rFonts w:ascii="宋体" w:hAnsi="宋体"/>
          <w:bCs/>
          <w:szCs w:val="21"/>
        </w:rPr>
        <w:t xml:space="preserve">及其他经中国证监会允许投资的债券）、资产支持证券、债券回购、银行存款、同业存单、货币市场工具等法律法规或中国证监会允许基金投资的其他金融工具，但须符合中国证监会相关规定。 </w:t>
      </w:r>
    </w:p>
    <w:p w14:paraId="63CD5C7A"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本基金不投资于股票，也不投资于可转换债券（可分离交易可转债的</w:t>
      </w:r>
      <w:proofErr w:type="gramStart"/>
      <w:r>
        <w:rPr>
          <w:rFonts w:ascii="宋体" w:hAnsi="宋体"/>
          <w:bCs/>
          <w:szCs w:val="21"/>
        </w:rPr>
        <w:t>纯债部分</w:t>
      </w:r>
      <w:proofErr w:type="gramEnd"/>
      <w:r>
        <w:rPr>
          <w:rFonts w:ascii="宋体" w:hAnsi="宋体"/>
          <w:bCs/>
          <w:szCs w:val="21"/>
        </w:rPr>
        <w:t xml:space="preserve">除外）、可交换债券。 </w:t>
      </w:r>
    </w:p>
    <w:p w14:paraId="58619BDF"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如法律法规或监管机构以后允许基金投资其他品种，基金管理人在履行适当程序后，可以将其纳入投资范围。</w:t>
      </w:r>
    </w:p>
    <w:p w14:paraId="33A594E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基金的投资组合比例为：本基金投资于债券资产的比例不低于基金资产的 80%，投资于短期债券的比例不低于非现金基金资产的80%。持有现金或到期日在一年以内的政府债券的投资比例不低于基金资产净值的5%，其中，现金不包括结算备付金、存出保证金、应收申购款等。</w:t>
      </w:r>
    </w:p>
    <w:p w14:paraId="724E220E"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本基金所投资的短期债券是指剩余期限不超过397天的债券资产，主要包括国债、地方政府债、央行票据、金融债、企业债、公司债、中期票据、短期融资</w:t>
      </w:r>
      <w:proofErr w:type="gramStart"/>
      <w:r>
        <w:rPr>
          <w:rFonts w:ascii="宋体" w:hAnsi="宋体"/>
          <w:bCs/>
          <w:szCs w:val="21"/>
        </w:rPr>
        <w:t>券</w:t>
      </w:r>
      <w:proofErr w:type="gramEnd"/>
      <w:r>
        <w:rPr>
          <w:rFonts w:ascii="宋体" w:hAnsi="宋体"/>
          <w:bCs/>
          <w:szCs w:val="21"/>
        </w:rPr>
        <w:t>、超短期融资</w:t>
      </w:r>
      <w:proofErr w:type="gramStart"/>
      <w:r>
        <w:rPr>
          <w:rFonts w:ascii="宋体" w:hAnsi="宋体"/>
          <w:bCs/>
          <w:szCs w:val="21"/>
        </w:rPr>
        <w:t>券</w:t>
      </w:r>
      <w:proofErr w:type="gramEnd"/>
      <w:r>
        <w:rPr>
          <w:rFonts w:ascii="宋体" w:hAnsi="宋体"/>
          <w:bCs/>
          <w:szCs w:val="21"/>
        </w:rPr>
        <w:t>、公开发行的次级债、可分离交易可转债的</w:t>
      </w:r>
      <w:proofErr w:type="gramStart"/>
      <w:r>
        <w:rPr>
          <w:rFonts w:ascii="宋体" w:hAnsi="宋体"/>
          <w:bCs/>
          <w:szCs w:val="21"/>
        </w:rPr>
        <w:t>纯债部分</w:t>
      </w:r>
      <w:proofErr w:type="gramEnd"/>
      <w:r>
        <w:rPr>
          <w:rFonts w:ascii="宋体" w:hAnsi="宋体"/>
          <w:bCs/>
          <w:szCs w:val="21"/>
        </w:rPr>
        <w:t xml:space="preserve">等金融工具。 </w:t>
      </w:r>
    </w:p>
    <w:p w14:paraId="3A7D5F8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如法律法规或中国证监会变更上述投资品种的比例限制，基金管理人在履行适当程序后，可以调整上述投资品种的投资比例。</w:t>
      </w:r>
    </w:p>
    <w:p w14:paraId="76C5D1C5" w14:textId="77777777" w:rsidR="00706097" w:rsidRDefault="00DA6858">
      <w:pPr>
        <w:snapToGrid w:val="0"/>
        <w:spacing w:line="360" w:lineRule="auto"/>
        <w:rPr>
          <w:rFonts w:ascii="宋体" w:hAnsi="宋体"/>
          <w:b/>
          <w:bCs/>
          <w:szCs w:val="21"/>
        </w:rPr>
      </w:pPr>
      <w:r>
        <w:rPr>
          <w:rFonts w:ascii="宋体" w:hAnsi="宋体" w:hint="eastAsia"/>
          <w:b/>
          <w:bCs/>
          <w:szCs w:val="21"/>
        </w:rPr>
        <w:t xml:space="preserve">    </w:t>
      </w:r>
    </w:p>
    <w:p w14:paraId="1E0D60B7"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三、投资策略</w:t>
      </w:r>
    </w:p>
    <w:p w14:paraId="0244008F" w14:textId="77777777" w:rsidR="00706097" w:rsidRDefault="00DA6858">
      <w:pPr>
        <w:adjustRightInd w:val="0"/>
        <w:snapToGrid w:val="0"/>
        <w:spacing w:line="360" w:lineRule="auto"/>
        <w:ind w:firstLineChars="200" w:firstLine="420"/>
        <w:rPr>
          <w:bCs/>
        </w:rPr>
      </w:pPr>
      <w:r>
        <w:rPr>
          <w:rFonts w:hint="eastAsia"/>
          <w:bCs/>
        </w:rPr>
        <w:t>本基金将在审慎考虑各类资产的收益性、流动性及风险性特征的前提下，实现风险与收益的合理配比。将</w:t>
      </w:r>
      <w:r>
        <w:rPr>
          <w:bCs/>
        </w:rPr>
        <w:t>采取</w:t>
      </w:r>
      <w:r>
        <w:rPr>
          <w:rFonts w:hint="eastAsia"/>
          <w:bCs/>
        </w:rPr>
        <w:t>多种策略进行债券资产的组合投资管理，</w:t>
      </w:r>
      <w:r>
        <w:rPr>
          <w:bCs/>
        </w:rPr>
        <w:t>为投资者提供稳定</w:t>
      </w:r>
      <w:r>
        <w:rPr>
          <w:rFonts w:hint="eastAsia"/>
          <w:bCs/>
        </w:rPr>
        <w:t>的投资</w:t>
      </w:r>
      <w:r>
        <w:rPr>
          <w:bCs/>
        </w:rPr>
        <w:t>回报。</w:t>
      </w:r>
    </w:p>
    <w:p w14:paraId="05D62AA5" w14:textId="77777777" w:rsidR="00706097" w:rsidRDefault="00DA6858">
      <w:pPr>
        <w:adjustRightInd w:val="0"/>
        <w:snapToGrid w:val="0"/>
        <w:spacing w:line="360" w:lineRule="auto"/>
        <w:ind w:firstLineChars="200" w:firstLine="420"/>
        <w:rPr>
          <w:bCs/>
        </w:rPr>
      </w:pPr>
      <w:r>
        <w:rPr>
          <w:rFonts w:hint="eastAsia"/>
          <w:bCs/>
        </w:rPr>
        <w:t>1</w:t>
      </w:r>
      <w:r>
        <w:rPr>
          <w:rFonts w:hint="eastAsia"/>
          <w:bCs/>
        </w:rPr>
        <w:t>、总体资产配置策略</w:t>
      </w:r>
    </w:p>
    <w:p w14:paraId="042EB45E" w14:textId="77777777" w:rsidR="00706097" w:rsidRDefault="00DA6858">
      <w:pPr>
        <w:adjustRightInd w:val="0"/>
        <w:snapToGrid w:val="0"/>
        <w:spacing w:line="360" w:lineRule="auto"/>
        <w:ind w:firstLineChars="200" w:firstLine="420"/>
        <w:rPr>
          <w:bCs/>
        </w:rPr>
      </w:pPr>
      <w:r>
        <w:rPr>
          <w:rFonts w:hint="eastAsia"/>
          <w:bCs/>
        </w:rPr>
        <w:t>通过对国内外宏观经济基本面以及政策进行深入的研究，形成基于基本面的宏观形势</w:t>
      </w:r>
      <w:proofErr w:type="gramStart"/>
      <w:r>
        <w:rPr>
          <w:rFonts w:hint="eastAsia"/>
          <w:bCs/>
        </w:rPr>
        <w:t>研</w:t>
      </w:r>
      <w:proofErr w:type="gramEnd"/>
      <w:r>
        <w:rPr>
          <w:rFonts w:hint="eastAsia"/>
          <w:bCs/>
        </w:rPr>
        <w:t>判。密切跟踪央行公开市场操作、资金供求、市场流动性、货币市场与资本市场的资金互动、市场参与成员特征等因素，合理预期利率变化趋势，并据此确定投资组合的总体资产配置策</w:t>
      </w:r>
      <w:r>
        <w:rPr>
          <w:rFonts w:hint="eastAsia"/>
          <w:bCs/>
        </w:rPr>
        <w:lastRenderedPageBreak/>
        <w:t>略。</w:t>
      </w:r>
    </w:p>
    <w:p w14:paraId="0ECA3C01" w14:textId="77777777" w:rsidR="00706097" w:rsidRDefault="00DA6858">
      <w:pPr>
        <w:adjustRightInd w:val="0"/>
        <w:snapToGrid w:val="0"/>
        <w:spacing w:line="360" w:lineRule="auto"/>
        <w:ind w:firstLineChars="200" w:firstLine="420"/>
        <w:rPr>
          <w:bCs/>
        </w:rPr>
      </w:pPr>
      <w:r>
        <w:rPr>
          <w:rFonts w:hint="eastAsia"/>
          <w:bCs/>
        </w:rPr>
        <w:t>2</w:t>
      </w:r>
      <w:r>
        <w:rPr>
          <w:rFonts w:hint="eastAsia"/>
          <w:bCs/>
        </w:rPr>
        <w:t>、</w:t>
      </w:r>
      <w:proofErr w:type="gramStart"/>
      <w:r>
        <w:rPr>
          <w:rFonts w:hint="eastAsia"/>
          <w:bCs/>
        </w:rPr>
        <w:t>组合久期管理</w:t>
      </w:r>
      <w:proofErr w:type="gramEnd"/>
      <w:r>
        <w:rPr>
          <w:rFonts w:hint="eastAsia"/>
          <w:bCs/>
        </w:rPr>
        <w:t>策略</w:t>
      </w:r>
    </w:p>
    <w:p w14:paraId="7F6CAFFB" w14:textId="77777777" w:rsidR="00706097" w:rsidRDefault="00DA6858">
      <w:pPr>
        <w:adjustRightInd w:val="0"/>
        <w:snapToGrid w:val="0"/>
        <w:spacing w:line="360" w:lineRule="auto"/>
        <w:ind w:firstLineChars="200" w:firstLine="420"/>
        <w:rPr>
          <w:bCs/>
        </w:rPr>
      </w:pPr>
      <w:r>
        <w:rPr>
          <w:bCs/>
        </w:rPr>
        <w:t>本基金主要投资短期债券，</w:t>
      </w:r>
      <w:r>
        <w:rPr>
          <w:rFonts w:hint="eastAsia"/>
          <w:bCs/>
        </w:rPr>
        <w:t>有效</w:t>
      </w:r>
      <w:r>
        <w:rPr>
          <w:bCs/>
        </w:rPr>
        <w:t>控制基金净值的波动。</w:t>
      </w:r>
      <w:r>
        <w:rPr>
          <w:rFonts w:hint="eastAsia"/>
          <w:bCs/>
        </w:rPr>
        <w:t>本基金将结合对宏观经济和利率预期的分析，综合运用量化模型，预测未来收益率曲线变动趋势，动态确定并控制投资组合的平均剩余期限。当预期市场利率上升时，通过增加持有剩余期限较短债券并减持剩余期限较长债券等方式降低组合久期；在预期市场收益率下降时，通过增持剩余期限较长债券等方式提高组合久期。</w:t>
      </w:r>
    </w:p>
    <w:p w14:paraId="07A81D48" w14:textId="77777777" w:rsidR="00706097" w:rsidRDefault="00DA6858">
      <w:pPr>
        <w:adjustRightInd w:val="0"/>
        <w:snapToGrid w:val="0"/>
        <w:spacing w:line="360" w:lineRule="auto"/>
        <w:ind w:firstLineChars="200" w:firstLine="420"/>
        <w:rPr>
          <w:bCs/>
        </w:rPr>
      </w:pPr>
      <w:r>
        <w:rPr>
          <w:rFonts w:hint="eastAsia"/>
          <w:bCs/>
        </w:rPr>
        <w:t>3</w:t>
      </w:r>
      <w:r>
        <w:rPr>
          <w:rFonts w:hint="eastAsia"/>
          <w:bCs/>
        </w:rPr>
        <w:t>、类别资产配置策略</w:t>
      </w:r>
    </w:p>
    <w:p w14:paraId="5778189D" w14:textId="77777777" w:rsidR="00706097" w:rsidRDefault="00DA6858">
      <w:pPr>
        <w:adjustRightInd w:val="0"/>
        <w:snapToGrid w:val="0"/>
        <w:spacing w:line="360" w:lineRule="auto"/>
        <w:ind w:firstLineChars="200" w:firstLine="420"/>
        <w:rPr>
          <w:bCs/>
        </w:rPr>
      </w:pPr>
      <w:r>
        <w:rPr>
          <w:rFonts w:hint="eastAsia"/>
          <w:bCs/>
        </w:rPr>
        <w:t>根据市场资金供求、申赎金额的变化进行动态分析，确定本基金的流动性目标。在此基础上对各细分市场的市场规模、各品种的流动性、相对收益、信用风险以及剩余期限等重要指标进行分析，确定投资组合类别资产的配置比例。在具体的券种选择方面，将通过科学地拟合收益率曲线，寻找市场中收益率偏高的券种，客观分析收益率偏高的原因，对市场未理性定价的券种给予重点关注。</w:t>
      </w:r>
    </w:p>
    <w:p w14:paraId="3555277C" w14:textId="77777777" w:rsidR="00706097" w:rsidRDefault="00DA6858">
      <w:pPr>
        <w:adjustRightInd w:val="0"/>
        <w:snapToGrid w:val="0"/>
        <w:spacing w:line="360" w:lineRule="auto"/>
        <w:ind w:firstLineChars="200" w:firstLine="420"/>
        <w:rPr>
          <w:bCs/>
        </w:rPr>
      </w:pPr>
      <w:r>
        <w:rPr>
          <w:rFonts w:hint="eastAsia"/>
          <w:bCs/>
        </w:rPr>
        <w:t>4</w:t>
      </w:r>
      <w:r>
        <w:rPr>
          <w:rFonts w:hint="eastAsia"/>
          <w:bCs/>
        </w:rPr>
        <w:t>、息差策略</w:t>
      </w:r>
    </w:p>
    <w:p w14:paraId="1ED8A1D5" w14:textId="77777777" w:rsidR="00706097" w:rsidRDefault="00DA6858">
      <w:pPr>
        <w:adjustRightInd w:val="0"/>
        <w:snapToGrid w:val="0"/>
        <w:spacing w:line="360" w:lineRule="auto"/>
        <w:ind w:firstLineChars="200" w:firstLine="420"/>
        <w:rPr>
          <w:bCs/>
        </w:rPr>
      </w:pPr>
      <w:r>
        <w:rPr>
          <w:rFonts w:hint="eastAsia"/>
          <w:bCs/>
        </w:rPr>
        <w:t>本基金将结合对市场利率的走势判断，运用正回购操作来获取主动管理的回报。当预期市场利率下行或者利率走势平稳，且资金成本明显低于持有的债券收益率时，本基金将通过将剩余期限相对较长的短期债券进行正回购质押，融资后再购买入流动性较好且</w:t>
      </w:r>
      <w:r>
        <w:rPr>
          <w:bCs/>
        </w:rPr>
        <w:t>收益率高于回购成本的债券</w:t>
      </w:r>
      <w:r>
        <w:rPr>
          <w:rFonts w:hint="eastAsia"/>
          <w:bCs/>
        </w:rPr>
        <w:t>，以此获得息差收益。</w:t>
      </w:r>
    </w:p>
    <w:p w14:paraId="77C51D6D" w14:textId="77777777" w:rsidR="00706097" w:rsidRDefault="00DA6858">
      <w:pPr>
        <w:adjustRightInd w:val="0"/>
        <w:snapToGrid w:val="0"/>
        <w:spacing w:line="360" w:lineRule="auto"/>
        <w:ind w:firstLineChars="200" w:firstLine="420"/>
        <w:rPr>
          <w:bCs/>
        </w:rPr>
      </w:pPr>
      <w:r>
        <w:rPr>
          <w:rFonts w:hint="eastAsia"/>
          <w:bCs/>
        </w:rPr>
        <w:t>5</w:t>
      </w:r>
      <w:r>
        <w:rPr>
          <w:rFonts w:hint="eastAsia"/>
          <w:bCs/>
        </w:rPr>
        <w:t>、利差策略</w:t>
      </w:r>
    </w:p>
    <w:p w14:paraId="6006CF83" w14:textId="77777777" w:rsidR="00706097" w:rsidRDefault="00DA6858">
      <w:pPr>
        <w:adjustRightInd w:val="0"/>
        <w:snapToGrid w:val="0"/>
        <w:spacing w:line="360" w:lineRule="auto"/>
        <w:ind w:firstLineChars="200" w:firstLine="420"/>
        <w:rPr>
          <w:bCs/>
        </w:rPr>
      </w:pPr>
      <w:r>
        <w:rPr>
          <w:rFonts w:hint="eastAsia"/>
          <w:bCs/>
        </w:rPr>
        <w:t>对不同债券间的期限利差、信用利差、</w:t>
      </w:r>
      <w:proofErr w:type="gramStart"/>
      <w:r>
        <w:rPr>
          <w:rFonts w:hint="eastAsia"/>
          <w:bCs/>
        </w:rPr>
        <w:t>一</w:t>
      </w:r>
      <w:proofErr w:type="gramEnd"/>
      <w:r>
        <w:rPr>
          <w:rFonts w:hint="eastAsia"/>
          <w:bCs/>
        </w:rPr>
        <w:t>二级市场利差等的未来走势进行判断，根据利差变化方向的判断进行投资组合安排，以获取利差收益。</w:t>
      </w:r>
      <w:r>
        <w:rPr>
          <w:bCs/>
        </w:rPr>
        <w:t>当预期利差水平缩小时，买入收益率高的债券同时卖出收益率低的债券，</w:t>
      </w:r>
      <w:r>
        <w:rPr>
          <w:rFonts w:hint="eastAsia"/>
          <w:bCs/>
        </w:rPr>
        <w:t>获取</w:t>
      </w:r>
      <w:r>
        <w:rPr>
          <w:bCs/>
        </w:rPr>
        <w:t>利差缩小</w:t>
      </w:r>
      <w:r>
        <w:rPr>
          <w:rFonts w:hint="eastAsia"/>
          <w:bCs/>
        </w:rPr>
        <w:t>的</w:t>
      </w:r>
      <w:r>
        <w:rPr>
          <w:bCs/>
        </w:rPr>
        <w:t>投资收益；当预期利差水平扩大时，买入收益率低的债券同时卖出收益率高的债券，</w:t>
      </w:r>
      <w:r>
        <w:rPr>
          <w:rFonts w:hint="eastAsia"/>
          <w:bCs/>
        </w:rPr>
        <w:t>获取</w:t>
      </w:r>
      <w:r>
        <w:rPr>
          <w:bCs/>
        </w:rPr>
        <w:t>债券利</w:t>
      </w:r>
      <w:r>
        <w:rPr>
          <w:rFonts w:hint="eastAsia"/>
          <w:bCs/>
        </w:rPr>
        <w:t>差的投资收益。</w:t>
      </w:r>
    </w:p>
    <w:p w14:paraId="0053CA9B" w14:textId="77777777" w:rsidR="00706097" w:rsidRDefault="00DA6858">
      <w:pPr>
        <w:adjustRightInd w:val="0"/>
        <w:snapToGrid w:val="0"/>
        <w:spacing w:line="360" w:lineRule="auto"/>
        <w:ind w:firstLineChars="200" w:firstLine="420"/>
        <w:rPr>
          <w:bCs/>
        </w:rPr>
      </w:pPr>
      <w:r>
        <w:rPr>
          <w:rFonts w:hint="eastAsia"/>
          <w:bCs/>
        </w:rPr>
        <w:t>6</w:t>
      </w:r>
      <w:r>
        <w:rPr>
          <w:bCs/>
        </w:rPr>
        <w:t>.</w:t>
      </w:r>
      <w:r>
        <w:rPr>
          <w:rFonts w:hint="eastAsia"/>
          <w:bCs/>
        </w:rPr>
        <w:t>流动性管理策略</w:t>
      </w:r>
      <w:r>
        <w:rPr>
          <w:bCs/>
        </w:rPr>
        <w:t xml:space="preserve"> </w:t>
      </w:r>
    </w:p>
    <w:p w14:paraId="29905302" w14:textId="77777777" w:rsidR="00706097" w:rsidRDefault="00DA6858">
      <w:pPr>
        <w:adjustRightInd w:val="0"/>
        <w:snapToGrid w:val="0"/>
        <w:spacing w:line="360" w:lineRule="auto"/>
        <w:ind w:firstLineChars="200" w:firstLine="420"/>
        <w:rPr>
          <w:bCs/>
        </w:rPr>
      </w:pPr>
      <w:r>
        <w:rPr>
          <w:rFonts w:hint="eastAsia"/>
          <w:bCs/>
        </w:rPr>
        <w:t>本基金将保持组合的流动性在相对较高的水平。通过紧密关注</w:t>
      </w:r>
      <w:proofErr w:type="gramStart"/>
      <w:r>
        <w:rPr>
          <w:rFonts w:hint="eastAsia"/>
          <w:bCs/>
        </w:rPr>
        <w:t>基金申赎情况</w:t>
      </w:r>
      <w:proofErr w:type="gramEnd"/>
      <w:r>
        <w:rPr>
          <w:rFonts w:hint="eastAsia"/>
          <w:bCs/>
        </w:rPr>
        <w:t>、资金的季节性波动特征等，建立组合流动性预警指标，实现对基金资产的科学化管理，对所有持有资产的到期日进行均衡配置，以确保基金资产的整体变现能力。</w:t>
      </w:r>
    </w:p>
    <w:p w14:paraId="20CD3E22" w14:textId="77777777" w:rsidR="00706097" w:rsidRDefault="00DA6858">
      <w:pPr>
        <w:adjustRightInd w:val="0"/>
        <w:snapToGrid w:val="0"/>
        <w:spacing w:line="360" w:lineRule="auto"/>
        <w:ind w:firstLineChars="200" w:firstLine="420"/>
        <w:rPr>
          <w:bCs/>
        </w:rPr>
      </w:pPr>
      <w:r>
        <w:rPr>
          <w:rFonts w:hint="eastAsia"/>
          <w:bCs/>
        </w:rPr>
        <w:t>7.</w:t>
      </w:r>
      <w:r>
        <w:rPr>
          <w:bCs/>
        </w:rPr>
        <w:t xml:space="preserve"> </w:t>
      </w:r>
      <w:r>
        <w:rPr>
          <w:bCs/>
        </w:rPr>
        <w:t>资产支持证券投资策略</w:t>
      </w:r>
    </w:p>
    <w:p w14:paraId="7CD56E5F" w14:textId="77777777" w:rsidR="00706097" w:rsidRDefault="00DA6858">
      <w:pPr>
        <w:adjustRightInd w:val="0"/>
        <w:snapToGrid w:val="0"/>
        <w:spacing w:line="360" w:lineRule="auto"/>
        <w:ind w:firstLineChars="200" w:firstLine="420"/>
        <w:rPr>
          <w:bCs/>
        </w:rPr>
      </w:pPr>
      <w:r>
        <w:rPr>
          <w:bCs/>
        </w:rPr>
        <w:t>本基金投资资产支持证券将综合</w:t>
      </w:r>
      <w:proofErr w:type="gramStart"/>
      <w:r>
        <w:rPr>
          <w:bCs/>
        </w:rPr>
        <w:t>运用久期管理</w:t>
      </w:r>
      <w:proofErr w:type="gramEnd"/>
      <w:r>
        <w:rPr>
          <w:bCs/>
        </w:rPr>
        <w:t>、收益率曲线、</w:t>
      </w:r>
      <w:proofErr w:type="gramStart"/>
      <w:r>
        <w:rPr>
          <w:bCs/>
        </w:rPr>
        <w:t>个券</w:t>
      </w:r>
      <w:proofErr w:type="gramEnd"/>
      <w:r>
        <w:rPr>
          <w:bCs/>
        </w:rPr>
        <w:t>选择和把握市场交易机会等积极策略，在严格遵守法律法规和基金合同基础上，通过信用研究和流动性管理，选择经风险调整后相对价值较高的品种进行投资，以期获得长期稳定收益。</w:t>
      </w:r>
    </w:p>
    <w:p w14:paraId="22F8326B"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四</w:t>
      </w:r>
      <w:r>
        <w:rPr>
          <w:rFonts w:ascii="宋体" w:hAnsi="宋体"/>
          <w:b/>
          <w:bCs/>
          <w:szCs w:val="21"/>
        </w:rPr>
        <w:t>、投资限制</w:t>
      </w:r>
    </w:p>
    <w:p w14:paraId="26B2E8BF" w14:textId="77777777" w:rsidR="00706097" w:rsidRDefault="00DA6858">
      <w:pPr>
        <w:adjustRightInd w:val="0"/>
        <w:snapToGrid w:val="0"/>
        <w:spacing w:line="360" w:lineRule="auto"/>
        <w:ind w:firstLine="420"/>
        <w:rPr>
          <w:rFonts w:ascii="宋体" w:hAnsi="宋体"/>
          <w:szCs w:val="21"/>
        </w:rPr>
      </w:pPr>
      <w:r>
        <w:rPr>
          <w:rFonts w:ascii="宋体" w:hAnsi="宋体"/>
          <w:szCs w:val="21"/>
        </w:rPr>
        <w:t>1、组合限制</w:t>
      </w:r>
    </w:p>
    <w:p w14:paraId="3897B1DE" w14:textId="77777777" w:rsidR="00706097" w:rsidRDefault="00DA6858">
      <w:pPr>
        <w:adjustRightInd w:val="0"/>
        <w:snapToGrid w:val="0"/>
        <w:spacing w:line="360" w:lineRule="auto"/>
        <w:ind w:firstLine="420"/>
        <w:rPr>
          <w:rFonts w:ascii="宋体" w:hAnsi="宋体"/>
          <w:bCs/>
          <w:szCs w:val="21"/>
        </w:rPr>
      </w:pPr>
      <w:bookmarkStart w:id="85" w:name="_Hlk12994060"/>
      <w:r>
        <w:rPr>
          <w:rFonts w:ascii="宋体" w:hAnsi="宋体" w:hint="eastAsia"/>
          <w:bCs/>
          <w:szCs w:val="21"/>
        </w:rPr>
        <w:t>基金的投资组合应遵循以下限制：</w:t>
      </w:r>
    </w:p>
    <w:p w14:paraId="2E8F5A41"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lastRenderedPageBreak/>
        <w:t>（1）本基金投资于债券的比例不低于基金资产的80%，其中，本基金投资于短期债券的比例不低于非现金基金资产的80%；</w:t>
      </w:r>
    </w:p>
    <w:p w14:paraId="4C8649D4"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（2）保持不低于基金资产净值5%的现金或者到期日在一年以内的政府债券；其中，现金不包括结算备付金、存出保证金和应收申购款等；</w:t>
      </w:r>
    </w:p>
    <w:p w14:paraId="56CB182A"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（3）本基金持有一家公司发行的证券，其市值不超过基金资产净值的10％；</w:t>
      </w:r>
    </w:p>
    <w:p w14:paraId="486AEE68"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（4）本基金管理人管理的全部基金持有一家公司发行的证券，不超过该证券的10％，</w:t>
      </w:r>
      <w:r>
        <w:rPr>
          <w:rFonts w:ascii="宋体" w:hAnsi="宋体"/>
          <w:bCs/>
          <w:szCs w:val="21"/>
        </w:rPr>
        <w:t>完全按照有关指数的构成比例进行证券投资的基金品种可以不受此条款规定的比例限制</w:t>
      </w:r>
      <w:r>
        <w:rPr>
          <w:rFonts w:ascii="宋体" w:hAnsi="宋体" w:hint="eastAsia"/>
          <w:bCs/>
          <w:szCs w:val="21"/>
        </w:rPr>
        <w:t>；</w:t>
      </w:r>
    </w:p>
    <w:p w14:paraId="4948DBE1"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w:t>
      </w:r>
      <w:r>
        <w:rPr>
          <w:rFonts w:ascii="宋体" w:hAnsi="宋体" w:hint="eastAsia"/>
          <w:bCs/>
          <w:szCs w:val="21"/>
        </w:rPr>
        <w:t>5</w:t>
      </w:r>
      <w:r>
        <w:rPr>
          <w:rFonts w:ascii="宋体" w:hAnsi="宋体"/>
          <w:bCs/>
          <w:szCs w:val="21"/>
        </w:rPr>
        <w:t xml:space="preserve">）本基金投资于同一原始权益人的各类资产支持证券的比例，不得超过 基金资产净值的10%； </w:t>
      </w:r>
    </w:p>
    <w:p w14:paraId="0B282740"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w:t>
      </w:r>
      <w:r>
        <w:rPr>
          <w:rFonts w:ascii="宋体" w:hAnsi="宋体" w:hint="eastAsia"/>
          <w:bCs/>
          <w:szCs w:val="21"/>
        </w:rPr>
        <w:t>6</w:t>
      </w:r>
      <w:r>
        <w:rPr>
          <w:rFonts w:ascii="宋体" w:hAnsi="宋体"/>
          <w:bCs/>
          <w:szCs w:val="21"/>
        </w:rPr>
        <w:t xml:space="preserve">）本基金持有的全部资产支持证券，其市值不得超过基金资产净值的20%； </w:t>
      </w:r>
    </w:p>
    <w:p w14:paraId="1E7673EE"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w:t>
      </w:r>
      <w:r>
        <w:rPr>
          <w:rFonts w:ascii="宋体" w:hAnsi="宋体" w:hint="eastAsia"/>
          <w:bCs/>
          <w:szCs w:val="21"/>
        </w:rPr>
        <w:t>7</w:t>
      </w:r>
      <w:r>
        <w:rPr>
          <w:rFonts w:ascii="宋体" w:hAnsi="宋体"/>
          <w:bCs/>
          <w:szCs w:val="21"/>
        </w:rPr>
        <w:t xml:space="preserve">）本基金持有的同一（指同一信用级别）资产支持证券的比例，不得超过该资产支持证券规模的10%； </w:t>
      </w:r>
    </w:p>
    <w:p w14:paraId="414A3559"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w:t>
      </w:r>
      <w:r>
        <w:rPr>
          <w:rFonts w:ascii="宋体" w:hAnsi="宋体" w:hint="eastAsia"/>
          <w:bCs/>
          <w:szCs w:val="21"/>
        </w:rPr>
        <w:t>8</w:t>
      </w:r>
      <w:r>
        <w:rPr>
          <w:rFonts w:ascii="宋体" w:hAnsi="宋体"/>
          <w:bCs/>
          <w:szCs w:val="21"/>
        </w:rPr>
        <w:t>）本基金管理人管理的全部基金投资于同一原始权益人的各类资产支持 证券，不得超过其各类资产支持证券合计规模的10%；</w:t>
      </w:r>
    </w:p>
    <w:p w14:paraId="56ED6089"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w:t>
      </w:r>
      <w:r>
        <w:rPr>
          <w:rFonts w:ascii="宋体" w:hAnsi="宋体" w:hint="eastAsia"/>
          <w:bCs/>
          <w:szCs w:val="21"/>
        </w:rPr>
        <w:t>9</w:t>
      </w:r>
      <w:r>
        <w:rPr>
          <w:rFonts w:ascii="宋体" w:hAnsi="宋体"/>
          <w:bCs/>
          <w:szCs w:val="21"/>
        </w:rPr>
        <w:t xml:space="preserve">）本基金应投资于信用级别评级为BBB以上（含BBB）的资产支持证券。基金持有资产支持证券期间，如果其信用等级下降、不再符合投资标准， 应在评级报告发布之日起3个月内予以全部卖出； </w:t>
      </w:r>
    </w:p>
    <w:p w14:paraId="6B9D535D"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（10）</w:t>
      </w:r>
      <w:r>
        <w:rPr>
          <w:rFonts w:ascii="宋体" w:hAnsi="宋体"/>
          <w:bCs/>
          <w:szCs w:val="21"/>
        </w:rPr>
        <w:t>本基金进入全国银行间同业市场进行债券回购的资金余额不得超过基金资产净值的40%</w:t>
      </w:r>
      <w:r>
        <w:rPr>
          <w:rFonts w:ascii="宋体" w:hAnsi="宋体" w:hint="eastAsia"/>
          <w:bCs/>
          <w:szCs w:val="21"/>
        </w:rPr>
        <w:t>，进入全国银行间同业市场进行债券回购的最长期限为1年，债券回购到期后不得展期</w:t>
      </w:r>
      <w:r>
        <w:rPr>
          <w:rFonts w:ascii="宋体" w:hAnsi="宋体"/>
          <w:bCs/>
          <w:szCs w:val="21"/>
        </w:rPr>
        <w:t>；</w:t>
      </w:r>
    </w:p>
    <w:p w14:paraId="0D9410B2"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（1</w:t>
      </w:r>
      <w:r>
        <w:rPr>
          <w:rFonts w:ascii="宋体" w:hAnsi="宋体" w:hint="eastAsia"/>
          <w:bCs/>
          <w:szCs w:val="21"/>
        </w:rPr>
        <w:t>1</w:t>
      </w:r>
      <w:r>
        <w:rPr>
          <w:rFonts w:ascii="宋体" w:hAnsi="宋体"/>
          <w:bCs/>
          <w:szCs w:val="21"/>
        </w:rPr>
        <w:t>）本基金主动投资于流动性受限资产的市值合计不得超过基金资产净值 的 15%；因证券市场波动、基金规模变动等基金管理人之外的因素致使基金不符合</w:t>
      </w:r>
      <w:r>
        <w:rPr>
          <w:rFonts w:ascii="宋体" w:hAnsi="宋体" w:hint="eastAsia"/>
          <w:bCs/>
          <w:szCs w:val="21"/>
        </w:rPr>
        <w:t>该</w:t>
      </w:r>
      <w:r>
        <w:rPr>
          <w:rFonts w:ascii="宋体" w:hAnsi="宋体"/>
          <w:bCs/>
          <w:szCs w:val="21"/>
        </w:rPr>
        <w:t xml:space="preserve">比例限制的，基金管理人不得主动新增流动性受限资产的投资； </w:t>
      </w:r>
    </w:p>
    <w:p w14:paraId="04514486"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（1</w:t>
      </w:r>
      <w:r>
        <w:rPr>
          <w:rFonts w:ascii="宋体" w:hAnsi="宋体" w:hint="eastAsia"/>
          <w:bCs/>
          <w:szCs w:val="21"/>
        </w:rPr>
        <w:t>2</w:t>
      </w:r>
      <w:r>
        <w:rPr>
          <w:rFonts w:ascii="宋体" w:hAnsi="宋体"/>
          <w:bCs/>
          <w:szCs w:val="21"/>
        </w:rPr>
        <w:t>）本基金与私募类</w:t>
      </w:r>
      <w:proofErr w:type="gramStart"/>
      <w:r>
        <w:rPr>
          <w:rFonts w:ascii="宋体" w:hAnsi="宋体"/>
          <w:bCs/>
          <w:szCs w:val="21"/>
        </w:rPr>
        <w:t>证券资管产品</w:t>
      </w:r>
      <w:proofErr w:type="gramEnd"/>
      <w:r>
        <w:rPr>
          <w:rFonts w:ascii="宋体" w:hAnsi="宋体"/>
          <w:bCs/>
          <w:szCs w:val="21"/>
        </w:rPr>
        <w:t xml:space="preserve">及中国证监会认定的其他主体为交易对手开展逆回购交易的，可接受质押品的资质要求应当与基金合同约定的投资范围保持一致； </w:t>
      </w:r>
    </w:p>
    <w:p w14:paraId="3CBE8393"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（13）</w:t>
      </w:r>
      <w:r>
        <w:rPr>
          <w:rFonts w:ascii="宋体" w:hAnsi="宋体"/>
          <w:bCs/>
          <w:szCs w:val="21"/>
        </w:rPr>
        <w:t>本基金资产总值不超过基金资产净值的140%</w:t>
      </w:r>
      <w:r>
        <w:rPr>
          <w:rFonts w:ascii="宋体" w:hAnsi="宋体" w:hint="eastAsia"/>
          <w:bCs/>
          <w:szCs w:val="21"/>
        </w:rPr>
        <w:t>；</w:t>
      </w:r>
    </w:p>
    <w:p w14:paraId="73CA6F66"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（14）法律法规及中国证监会规定的和</w:t>
      </w:r>
      <w:r>
        <w:rPr>
          <w:rFonts w:ascii="宋体" w:hAnsi="宋体" w:hint="eastAsia"/>
          <w:bCs/>
          <w:szCs w:val="21"/>
        </w:rPr>
        <w:t>《</w:t>
      </w:r>
      <w:r>
        <w:rPr>
          <w:rFonts w:ascii="宋体" w:hAnsi="宋体"/>
          <w:bCs/>
          <w:szCs w:val="21"/>
        </w:rPr>
        <w:t>基金合同</w:t>
      </w:r>
      <w:r>
        <w:rPr>
          <w:rFonts w:ascii="宋体" w:hAnsi="宋体" w:hint="eastAsia"/>
          <w:bCs/>
          <w:szCs w:val="21"/>
        </w:rPr>
        <w:t>》</w:t>
      </w:r>
      <w:r>
        <w:rPr>
          <w:rFonts w:ascii="宋体" w:hAnsi="宋体"/>
          <w:bCs/>
          <w:szCs w:val="21"/>
        </w:rPr>
        <w:t>约定的其他投资限制。</w:t>
      </w:r>
    </w:p>
    <w:p w14:paraId="38208375"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除第（2）、（9）、（11）、（1</w:t>
      </w:r>
      <w:r>
        <w:rPr>
          <w:rFonts w:ascii="宋体" w:hAnsi="宋体"/>
          <w:bCs/>
          <w:szCs w:val="21"/>
        </w:rPr>
        <w:t>2</w:t>
      </w:r>
      <w:r>
        <w:rPr>
          <w:rFonts w:ascii="宋体" w:hAnsi="宋体" w:hint="eastAsia"/>
          <w:bCs/>
          <w:szCs w:val="21"/>
        </w:rPr>
        <w:t>）项外，因证券市场波动、证券发行人合并、基金规模变动等基金管理人之外的因素致使基金投资比例不符合上述规定投资比例的，基金管理人应当在10个交易日内进行调整，但中国证监会规定的特殊情形除外。</w:t>
      </w:r>
      <w:r>
        <w:rPr>
          <w:rFonts w:ascii="宋体" w:hAnsi="宋体"/>
          <w:bCs/>
          <w:szCs w:val="21"/>
        </w:rPr>
        <w:t>法律法规另有规定的，从其规定。</w:t>
      </w:r>
    </w:p>
    <w:p w14:paraId="525FEC74"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4FF0CE2"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lastRenderedPageBreak/>
        <w:t>法律法规或监管部门取消上述限制，如适用于本基金，基金管理人在履行适当程序后，</w:t>
      </w:r>
      <w:r>
        <w:rPr>
          <w:rFonts w:ascii="宋体" w:hAnsi="宋体"/>
          <w:bCs/>
          <w:szCs w:val="21"/>
        </w:rPr>
        <w:t>则本基金投资不再受相关限制或以调整后的规定执行，但须提前公告，不需要经基金份额持有人大会审议。</w:t>
      </w:r>
    </w:p>
    <w:bookmarkEnd w:id="85"/>
    <w:p w14:paraId="079E25C7"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2、禁止行为</w:t>
      </w:r>
    </w:p>
    <w:p w14:paraId="591BF771"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为维护基金份额持有人的合法权益，基金财产不得用于下列投资或者活动：</w:t>
      </w:r>
    </w:p>
    <w:p w14:paraId="20F09414"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（1）承销证券；</w:t>
      </w:r>
    </w:p>
    <w:p w14:paraId="486D7791"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（2）违反规定向他人贷款或者提供担保；</w:t>
      </w:r>
    </w:p>
    <w:p w14:paraId="2A90C746"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（3）从事承担无限责任的投资；</w:t>
      </w:r>
    </w:p>
    <w:p w14:paraId="0F399ADB"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（4）买卖其他基金份额，但是中国证监会另有规定的除外；</w:t>
      </w:r>
    </w:p>
    <w:p w14:paraId="2FF66F8B"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（5）向其基金管理人、基金托管人出资；</w:t>
      </w:r>
    </w:p>
    <w:p w14:paraId="1C21F2E0"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w:t>
      </w:r>
      <w:r>
        <w:rPr>
          <w:rFonts w:ascii="宋体" w:hAnsi="宋体"/>
          <w:bCs/>
          <w:szCs w:val="21"/>
        </w:rPr>
        <w:t>6</w:t>
      </w:r>
      <w:r>
        <w:rPr>
          <w:rFonts w:ascii="宋体" w:hAnsi="宋体" w:hint="eastAsia"/>
          <w:bCs/>
          <w:szCs w:val="21"/>
        </w:rPr>
        <w:t>）从事内幕交易、操纵证券交易价格及其他不正当的证券交易活动；</w:t>
      </w:r>
    </w:p>
    <w:p w14:paraId="5D6F4ADF"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w:t>
      </w:r>
      <w:r>
        <w:rPr>
          <w:rFonts w:ascii="宋体" w:hAnsi="宋体"/>
          <w:bCs/>
          <w:szCs w:val="21"/>
        </w:rPr>
        <w:t>7</w:t>
      </w:r>
      <w:r>
        <w:rPr>
          <w:rFonts w:ascii="宋体" w:hAnsi="宋体" w:hint="eastAsia"/>
          <w:bCs/>
          <w:szCs w:val="21"/>
        </w:rPr>
        <w:t>）法律、行政法规和中国证监会规定禁止的其他活动。</w:t>
      </w:r>
    </w:p>
    <w:p w14:paraId="11984281"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3、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93BFB26"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4、法律法规或监管部门取消上述组合限制、禁止行为规定的条件和要求，本基金可不受相关限制。</w:t>
      </w:r>
    </w:p>
    <w:p w14:paraId="2D1EA1B2" w14:textId="77777777" w:rsidR="00706097" w:rsidRDefault="00706097">
      <w:pPr>
        <w:snapToGrid w:val="0"/>
        <w:spacing w:line="360" w:lineRule="auto"/>
        <w:ind w:firstLineChars="200" w:firstLine="420"/>
        <w:rPr>
          <w:rFonts w:ascii="宋体" w:hAnsi="宋体"/>
          <w:bCs/>
          <w:szCs w:val="21"/>
        </w:rPr>
      </w:pPr>
    </w:p>
    <w:p w14:paraId="0B2DE8AF"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五</w:t>
      </w:r>
      <w:r>
        <w:rPr>
          <w:rFonts w:ascii="宋体" w:hAnsi="宋体"/>
          <w:b/>
          <w:bCs/>
          <w:szCs w:val="21"/>
        </w:rPr>
        <w:t>、业绩比较基准</w:t>
      </w:r>
    </w:p>
    <w:p w14:paraId="7B442BD5" w14:textId="77777777" w:rsidR="00706097" w:rsidRDefault="00DA6858">
      <w:pPr>
        <w:snapToGrid w:val="0"/>
        <w:spacing w:line="360" w:lineRule="auto"/>
        <w:ind w:firstLineChars="200" w:firstLine="420"/>
        <w:rPr>
          <w:rFonts w:ascii="宋体" w:cs="宋体"/>
          <w:bCs/>
          <w:kern w:val="0"/>
          <w:szCs w:val="21"/>
        </w:rPr>
      </w:pPr>
      <w:r>
        <w:rPr>
          <w:rFonts w:ascii="宋体" w:cs="宋体"/>
          <w:bCs/>
          <w:kern w:val="0"/>
          <w:szCs w:val="21"/>
        </w:rPr>
        <w:t>本基金业绩比较基准</w:t>
      </w:r>
      <w:r>
        <w:rPr>
          <w:rFonts w:ascii="宋体" w:cs="宋体" w:hint="eastAsia"/>
          <w:bCs/>
          <w:kern w:val="0"/>
          <w:szCs w:val="21"/>
        </w:rPr>
        <w:t>:</w:t>
      </w:r>
      <w:r>
        <w:rPr>
          <w:rFonts w:ascii="宋体" w:cs="宋体"/>
          <w:bCs/>
          <w:kern w:val="0"/>
          <w:szCs w:val="21"/>
        </w:rPr>
        <w:t>中</w:t>
      </w:r>
      <w:proofErr w:type="gramStart"/>
      <w:r>
        <w:rPr>
          <w:rFonts w:ascii="宋体" w:cs="宋体"/>
          <w:bCs/>
          <w:kern w:val="0"/>
          <w:szCs w:val="21"/>
        </w:rPr>
        <w:t>债综合</w:t>
      </w:r>
      <w:proofErr w:type="gramEnd"/>
      <w:r>
        <w:rPr>
          <w:rFonts w:ascii="宋体" w:cs="宋体"/>
          <w:bCs/>
          <w:kern w:val="0"/>
          <w:szCs w:val="21"/>
        </w:rPr>
        <w:t xml:space="preserve">财富（1 年以下）指数收益率*80%+银行活期存款利率（税后）*20% </w:t>
      </w:r>
    </w:p>
    <w:p w14:paraId="0152754E" w14:textId="77777777" w:rsidR="00706097" w:rsidRDefault="00DA6858">
      <w:pPr>
        <w:snapToGrid w:val="0"/>
        <w:spacing w:line="360" w:lineRule="auto"/>
        <w:ind w:firstLineChars="200" w:firstLine="420"/>
        <w:rPr>
          <w:rFonts w:ascii="宋体" w:cs="宋体"/>
          <w:bCs/>
          <w:kern w:val="0"/>
          <w:szCs w:val="21"/>
        </w:rPr>
      </w:pPr>
      <w:r>
        <w:rPr>
          <w:rFonts w:ascii="宋体" w:cs="宋体"/>
          <w:bCs/>
          <w:kern w:val="0"/>
          <w:szCs w:val="21"/>
        </w:rPr>
        <w:t>本基金为债券型证券投资基金，本基金主要投资于剩余期限不超过397天 的债券资产，所以本基金选取中</w:t>
      </w:r>
      <w:proofErr w:type="gramStart"/>
      <w:r>
        <w:rPr>
          <w:rFonts w:ascii="宋体" w:cs="宋体"/>
          <w:bCs/>
          <w:kern w:val="0"/>
          <w:szCs w:val="21"/>
        </w:rPr>
        <w:t>债综合</w:t>
      </w:r>
      <w:proofErr w:type="gramEnd"/>
      <w:r>
        <w:rPr>
          <w:rFonts w:ascii="宋体" w:cs="宋体"/>
          <w:bCs/>
          <w:kern w:val="0"/>
          <w:szCs w:val="21"/>
        </w:rPr>
        <w:t>财富（1 年以下）指数收益率作为业绩比 较基准。中</w:t>
      </w:r>
      <w:proofErr w:type="gramStart"/>
      <w:r>
        <w:rPr>
          <w:rFonts w:ascii="宋体" w:cs="宋体"/>
          <w:bCs/>
          <w:kern w:val="0"/>
          <w:szCs w:val="21"/>
        </w:rPr>
        <w:t>债综合</w:t>
      </w:r>
      <w:proofErr w:type="gramEnd"/>
      <w:r>
        <w:rPr>
          <w:rFonts w:ascii="宋体" w:cs="宋体"/>
          <w:bCs/>
          <w:kern w:val="0"/>
          <w:szCs w:val="21"/>
        </w:rPr>
        <w:t xml:space="preserve">财富（1 年以下）指数是中央国债登记结算有限责任公司编制 的综合反映银行间债券市场和沪深交易所债券市场的跨市场短期债券指数，对短 期债券价格变动趋势有很强的代表性，能较好的反映本基金的投资策略，较为科 学、合理的评价本基金的业绩表现。 </w:t>
      </w:r>
    </w:p>
    <w:p w14:paraId="536AEC9A" w14:textId="77777777" w:rsidR="00706097" w:rsidRDefault="00DA6858">
      <w:pPr>
        <w:snapToGrid w:val="0"/>
        <w:spacing w:line="360" w:lineRule="auto"/>
        <w:ind w:firstLineChars="200" w:firstLine="420"/>
        <w:rPr>
          <w:rFonts w:ascii="宋体" w:cs="宋体"/>
          <w:bCs/>
          <w:kern w:val="0"/>
          <w:szCs w:val="21"/>
        </w:rPr>
      </w:pPr>
      <w:r>
        <w:rPr>
          <w:rFonts w:ascii="宋体" w:cs="宋体"/>
          <w:bCs/>
          <w:kern w:val="0"/>
          <w:szCs w:val="21"/>
        </w:rPr>
        <w:t>随着法律法规和市场环境发生变化，如果上述业绩比较基准不适用本基金， 或者本基金业绩比较基准中所使用的指数暂停或终止发布或变更名称，或者推出更权威的能够代表本基金风险收益特征的指数，基金管理人可以依据维护基金份额持有人合法权益的原则，与基金托管人协商一致，履行适当程序后对业绩比较 基准进行相应调整，并报中国证监会备案</w:t>
      </w:r>
      <w:r>
        <w:rPr>
          <w:rFonts w:ascii="宋体" w:cs="宋体"/>
          <w:bCs/>
          <w:kern w:val="0"/>
          <w:szCs w:val="21"/>
        </w:rPr>
        <w:lastRenderedPageBreak/>
        <w:t>并及时公告，无需召开基金份额持有人大会。</w:t>
      </w:r>
    </w:p>
    <w:p w14:paraId="4803C3C9" w14:textId="77777777" w:rsidR="00706097" w:rsidRDefault="00706097">
      <w:pPr>
        <w:snapToGrid w:val="0"/>
        <w:spacing w:line="360" w:lineRule="auto"/>
        <w:ind w:firstLineChars="200" w:firstLine="420"/>
        <w:rPr>
          <w:rFonts w:ascii="宋体" w:hAnsi="宋体"/>
          <w:bCs/>
          <w:szCs w:val="21"/>
        </w:rPr>
      </w:pPr>
    </w:p>
    <w:p w14:paraId="537AD447"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六</w:t>
      </w:r>
      <w:r>
        <w:rPr>
          <w:rFonts w:ascii="宋体" w:hAnsi="宋体"/>
          <w:b/>
          <w:bCs/>
          <w:szCs w:val="21"/>
        </w:rPr>
        <w:t xml:space="preserve">、风险收益特征               </w:t>
      </w:r>
    </w:p>
    <w:p w14:paraId="2A2E94F7"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hint="eastAsia"/>
          <w:bCs/>
          <w:szCs w:val="21"/>
        </w:rPr>
        <w:t>本基金为债券型基金，长期来看，其预期风险和预期收益水平低于股票型基金、混合型基金，高于货币市场基金。</w:t>
      </w:r>
    </w:p>
    <w:p w14:paraId="58159428" w14:textId="77777777" w:rsidR="00706097" w:rsidRDefault="00706097">
      <w:pPr>
        <w:snapToGrid w:val="0"/>
        <w:spacing w:line="360" w:lineRule="auto"/>
        <w:ind w:firstLineChars="200" w:firstLine="420"/>
        <w:rPr>
          <w:rFonts w:ascii="宋体" w:hAnsi="宋体"/>
          <w:bCs/>
          <w:szCs w:val="21"/>
        </w:rPr>
      </w:pPr>
    </w:p>
    <w:p w14:paraId="4EE1A6DC"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七、基金管理人代表基金行使债权人权利的处理原则及方法</w:t>
      </w:r>
    </w:p>
    <w:p w14:paraId="41CB2814" w14:textId="77777777" w:rsidR="00706097" w:rsidRDefault="00DA6858">
      <w:pPr>
        <w:adjustRightInd w:val="0"/>
        <w:snapToGrid w:val="0"/>
        <w:spacing w:line="360" w:lineRule="auto"/>
        <w:ind w:firstLineChars="200" w:firstLine="420"/>
        <w:rPr>
          <w:bCs/>
          <w:szCs w:val="21"/>
        </w:rPr>
      </w:pPr>
      <w:r>
        <w:rPr>
          <w:rFonts w:hint="eastAsia"/>
          <w:bCs/>
          <w:szCs w:val="21"/>
        </w:rPr>
        <w:t>1</w:t>
      </w:r>
      <w:r>
        <w:rPr>
          <w:rFonts w:hint="eastAsia"/>
          <w:bCs/>
          <w:szCs w:val="21"/>
        </w:rPr>
        <w:t>、基金管理人按照国家有关规定代表基金独立行使债权人权利，保护基金份额持有人的利益；</w:t>
      </w:r>
      <w:r>
        <w:rPr>
          <w:rFonts w:hint="eastAsia"/>
          <w:bCs/>
          <w:szCs w:val="21"/>
        </w:rPr>
        <w:t xml:space="preserve"> </w:t>
      </w:r>
    </w:p>
    <w:p w14:paraId="29CD5F28" w14:textId="77777777" w:rsidR="00706097" w:rsidRDefault="00DA6858">
      <w:pPr>
        <w:adjustRightInd w:val="0"/>
        <w:snapToGrid w:val="0"/>
        <w:spacing w:line="360" w:lineRule="auto"/>
        <w:ind w:firstLineChars="200" w:firstLine="420"/>
        <w:rPr>
          <w:bCs/>
          <w:szCs w:val="21"/>
        </w:rPr>
      </w:pPr>
      <w:r>
        <w:rPr>
          <w:bCs/>
          <w:szCs w:val="21"/>
        </w:rPr>
        <w:t>2</w:t>
      </w:r>
      <w:r>
        <w:rPr>
          <w:rFonts w:hint="eastAsia"/>
          <w:bCs/>
          <w:szCs w:val="21"/>
        </w:rPr>
        <w:t>、有利于基金财产的安全与增值；</w:t>
      </w:r>
      <w:r>
        <w:rPr>
          <w:rFonts w:hint="eastAsia"/>
          <w:bCs/>
          <w:szCs w:val="21"/>
        </w:rPr>
        <w:t xml:space="preserve"> </w:t>
      </w:r>
    </w:p>
    <w:p w14:paraId="46C85DD8" w14:textId="77777777" w:rsidR="00706097" w:rsidRDefault="00DA6858">
      <w:pPr>
        <w:adjustRightInd w:val="0"/>
        <w:snapToGrid w:val="0"/>
        <w:spacing w:line="360" w:lineRule="auto"/>
        <w:ind w:firstLineChars="200" w:firstLine="420"/>
        <w:rPr>
          <w:bCs/>
          <w:szCs w:val="21"/>
        </w:rPr>
      </w:pPr>
      <w:r>
        <w:rPr>
          <w:bCs/>
          <w:szCs w:val="21"/>
        </w:rPr>
        <w:t>3</w:t>
      </w:r>
      <w:r>
        <w:rPr>
          <w:rFonts w:hint="eastAsia"/>
          <w:bCs/>
          <w:szCs w:val="21"/>
        </w:rPr>
        <w:t>、不通过关联交易为自身、雇员、授权代理人或任何存在利害关系的第三人牟取任何不当利益。</w:t>
      </w:r>
    </w:p>
    <w:p w14:paraId="0FC4F8EB" w14:textId="77777777" w:rsidR="00706097" w:rsidRDefault="00706097">
      <w:pPr>
        <w:adjustRightInd w:val="0"/>
        <w:snapToGrid w:val="0"/>
        <w:spacing w:line="360" w:lineRule="auto"/>
        <w:ind w:firstLineChars="200" w:firstLine="420"/>
        <w:rPr>
          <w:bCs/>
          <w:szCs w:val="21"/>
        </w:rPr>
      </w:pPr>
    </w:p>
    <w:p w14:paraId="128E13DC"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八、</w:t>
      </w:r>
      <w:proofErr w:type="gramStart"/>
      <w:r>
        <w:rPr>
          <w:rFonts w:ascii="宋体" w:hAnsi="宋体" w:hint="eastAsia"/>
          <w:b/>
          <w:bCs/>
          <w:szCs w:val="21"/>
        </w:rPr>
        <w:t>侧袋机制</w:t>
      </w:r>
      <w:proofErr w:type="gramEnd"/>
      <w:r>
        <w:rPr>
          <w:rFonts w:ascii="宋体" w:hAnsi="宋体" w:hint="eastAsia"/>
          <w:b/>
          <w:bCs/>
          <w:szCs w:val="21"/>
        </w:rPr>
        <w:t>的实施和投资运作安排</w:t>
      </w:r>
    </w:p>
    <w:p w14:paraId="6F9C9325" w14:textId="77777777" w:rsidR="00706097" w:rsidRDefault="00DA6858">
      <w:pPr>
        <w:snapToGrid w:val="0"/>
        <w:spacing w:line="360" w:lineRule="auto"/>
        <w:ind w:firstLineChars="200" w:firstLine="420"/>
        <w:rPr>
          <w:bCs/>
          <w:szCs w:val="21"/>
        </w:rPr>
      </w:pPr>
      <w:r>
        <w:rPr>
          <w:rFonts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szCs w:val="21"/>
        </w:rPr>
        <w:t>启用侧袋机制</w:t>
      </w:r>
      <w:proofErr w:type="gramEnd"/>
      <w:r>
        <w:rPr>
          <w:rFonts w:hint="eastAsia"/>
          <w:bCs/>
          <w:szCs w:val="21"/>
        </w:rPr>
        <w:t>。</w:t>
      </w:r>
    </w:p>
    <w:p w14:paraId="64C5E36E" w14:textId="77777777" w:rsidR="00706097" w:rsidRDefault="00DA6858">
      <w:pPr>
        <w:snapToGrid w:val="0"/>
        <w:spacing w:line="360" w:lineRule="auto"/>
        <w:ind w:firstLineChars="200" w:firstLine="420"/>
        <w:rPr>
          <w:bCs/>
          <w:szCs w:val="21"/>
        </w:rPr>
      </w:pPr>
      <w:proofErr w:type="gramStart"/>
      <w:r>
        <w:rPr>
          <w:rFonts w:hint="eastAsia"/>
          <w:bCs/>
          <w:szCs w:val="21"/>
        </w:rPr>
        <w:t>侧袋机制</w:t>
      </w:r>
      <w:proofErr w:type="gramEnd"/>
      <w:r>
        <w:rPr>
          <w:rFonts w:hint="eastAsia"/>
          <w:bCs/>
          <w:szCs w:val="21"/>
        </w:rPr>
        <w:t>实施期间，本部分约定的投资组合比例、投资策略、组合限制、业绩比较基准、风险收益特征等约定仅</w:t>
      </w:r>
      <w:proofErr w:type="gramStart"/>
      <w:r>
        <w:rPr>
          <w:rFonts w:hint="eastAsia"/>
          <w:bCs/>
          <w:szCs w:val="21"/>
        </w:rPr>
        <w:t>适用于主袋账户</w:t>
      </w:r>
      <w:proofErr w:type="gramEnd"/>
      <w:r>
        <w:rPr>
          <w:rFonts w:hint="eastAsia"/>
          <w:bCs/>
          <w:szCs w:val="21"/>
        </w:rPr>
        <w:t>。</w:t>
      </w:r>
    </w:p>
    <w:p w14:paraId="16B2EFDF" w14:textId="77777777" w:rsidR="00706097" w:rsidRDefault="00DA6858">
      <w:pPr>
        <w:snapToGrid w:val="0"/>
        <w:spacing w:line="360" w:lineRule="auto"/>
        <w:ind w:firstLineChars="200" w:firstLine="420"/>
        <w:rPr>
          <w:bCs/>
          <w:szCs w:val="21"/>
        </w:rPr>
      </w:pPr>
      <w:proofErr w:type="gramStart"/>
      <w:r>
        <w:rPr>
          <w:rFonts w:hint="eastAsia"/>
          <w:bCs/>
          <w:szCs w:val="21"/>
        </w:rPr>
        <w:t>侧袋账户</w:t>
      </w:r>
      <w:proofErr w:type="gramEnd"/>
      <w:r>
        <w:rPr>
          <w:rFonts w:hint="eastAsia"/>
          <w:bCs/>
          <w:szCs w:val="21"/>
        </w:rPr>
        <w:t>的实施条件、实施程序、运作安排、投资安排、特定资产的处置变现和支付等对投资者权益有重大影响的事项详见本招募说明书“侧袋机制”章节的规定。</w:t>
      </w:r>
    </w:p>
    <w:p w14:paraId="69A8E99E" w14:textId="77777777" w:rsidR="00706097" w:rsidRDefault="00706097">
      <w:pPr>
        <w:snapToGrid w:val="0"/>
        <w:spacing w:line="360" w:lineRule="auto"/>
        <w:ind w:firstLineChars="200" w:firstLine="422"/>
        <w:rPr>
          <w:rFonts w:ascii="宋体" w:hAnsi="宋体"/>
          <w:b/>
          <w:bCs/>
          <w:szCs w:val="21"/>
        </w:rPr>
      </w:pPr>
    </w:p>
    <w:p w14:paraId="101747AA"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九、基金投资组合报告</w:t>
      </w:r>
    </w:p>
    <w:p w14:paraId="6825027F" w14:textId="77777777" w:rsidR="00706097" w:rsidRDefault="00DA6858">
      <w:pPr>
        <w:adjustRightInd w:val="0"/>
        <w:snapToGrid w:val="0"/>
        <w:spacing w:line="360" w:lineRule="auto"/>
        <w:ind w:firstLineChars="200" w:firstLine="420"/>
        <w:rPr>
          <w:bCs/>
          <w:szCs w:val="21"/>
        </w:rPr>
      </w:pPr>
      <w:r>
        <w:rPr>
          <w:rFonts w:hint="eastAsia"/>
          <w:bCs/>
          <w:szCs w:val="21"/>
        </w:rPr>
        <w:t>基金管理人的董事会及董事保证本报告所载资料不存在虚假记载、误导性陈述或重大遗漏，并对其内容的真实性、准确性和完整性承担个别及连带责任。</w:t>
      </w:r>
    </w:p>
    <w:p w14:paraId="6EDDB5C0" w14:textId="77777777" w:rsidR="00706097" w:rsidRDefault="00DA6858">
      <w:pPr>
        <w:adjustRightInd w:val="0"/>
        <w:snapToGrid w:val="0"/>
        <w:spacing w:line="360" w:lineRule="auto"/>
        <w:ind w:firstLineChars="200" w:firstLine="420"/>
        <w:rPr>
          <w:bCs/>
          <w:szCs w:val="21"/>
        </w:rPr>
      </w:pPr>
      <w:r>
        <w:rPr>
          <w:rFonts w:hint="eastAsia"/>
          <w:bCs/>
          <w:szCs w:val="21"/>
        </w:rPr>
        <w:t>基金托管人交通银行股份有限公</w:t>
      </w:r>
      <w:r>
        <w:rPr>
          <w:rFonts w:ascii="宋体" w:hAnsi="宋体" w:cs="宋体" w:hint="eastAsia"/>
          <w:bCs/>
          <w:szCs w:val="21"/>
        </w:rPr>
        <w:t>司根据本基金合同规定，复核了本报告中的财务指标、净值表现和投资组合</w:t>
      </w:r>
      <w:r>
        <w:rPr>
          <w:rFonts w:hint="eastAsia"/>
          <w:bCs/>
          <w:szCs w:val="21"/>
        </w:rPr>
        <w:t>报告等内容，保证复核内容不存在虚假记载、误导性陈述或者重大遗漏。</w:t>
      </w:r>
    </w:p>
    <w:p w14:paraId="4A926B01" w14:textId="015B9BC0" w:rsidR="00706097" w:rsidRDefault="00DA6858">
      <w:pPr>
        <w:adjustRightInd w:val="0"/>
        <w:snapToGrid w:val="0"/>
        <w:spacing w:line="360" w:lineRule="auto"/>
        <w:ind w:firstLineChars="200" w:firstLine="420"/>
        <w:rPr>
          <w:rFonts w:ascii="宋体" w:hAnsi="宋体" w:cs="宋体"/>
          <w:bCs/>
          <w:szCs w:val="21"/>
        </w:rPr>
      </w:pPr>
      <w:r>
        <w:rPr>
          <w:rFonts w:ascii="宋体" w:hAnsi="宋体" w:cs="宋体" w:hint="eastAsia"/>
          <w:bCs/>
          <w:szCs w:val="21"/>
        </w:rPr>
        <w:t>本报告中财务资料未经审计，本投资组合报告所载数据截至202</w:t>
      </w:r>
      <w:r w:rsidR="003B4FE0">
        <w:rPr>
          <w:rFonts w:ascii="宋体" w:hAnsi="宋体" w:cs="宋体"/>
          <w:bCs/>
          <w:szCs w:val="21"/>
        </w:rPr>
        <w:t>2</w:t>
      </w:r>
      <w:r>
        <w:rPr>
          <w:rFonts w:ascii="宋体" w:hAnsi="宋体" w:cs="宋体" w:hint="eastAsia"/>
          <w:bCs/>
          <w:szCs w:val="21"/>
        </w:rPr>
        <w:t>年12月31日。</w:t>
      </w:r>
    </w:p>
    <w:p w14:paraId="6A65B62D"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466930AF"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0824144B"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736D108F"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24D39886"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6232F495"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767BE9DB"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1D32F5E8"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61F1EE3C" w14:textId="77777777" w:rsidR="003B4FE0" w:rsidRPr="003B4FE0" w:rsidRDefault="003B4FE0" w:rsidP="003B4FE0">
      <w:pPr>
        <w:pStyle w:val="afffb"/>
        <w:keepNext/>
        <w:keepLines/>
        <w:numPr>
          <w:ilvl w:val="0"/>
          <w:numId w:val="27"/>
        </w:numPr>
        <w:tabs>
          <w:tab w:val="left" w:pos="432"/>
        </w:tabs>
        <w:spacing w:beforeLines="50" w:before="156" w:afterLines="50" w:after="156"/>
        <w:ind w:firstLineChars="0"/>
        <w:jc w:val="center"/>
        <w:outlineLvl w:val="0"/>
        <w:rPr>
          <w:rFonts w:ascii="宋体" w:hAnsi="宋体" w:cs="宋体"/>
          <w:b/>
          <w:bCs/>
          <w:vanish/>
          <w:kern w:val="44"/>
          <w:sz w:val="22"/>
          <w:szCs w:val="22"/>
        </w:rPr>
      </w:pPr>
    </w:p>
    <w:p w14:paraId="5436D8E3" w14:textId="4710935B" w:rsidR="003B4FE0" w:rsidRDefault="00DA6858" w:rsidP="003B4FE0">
      <w:pPr>
        <w:pStyle w:val="XBRLTitle2"/>
        <w:spacing w:before="156" w:after="156"/>
      </w:pPr>
      <w:r>
        <w:rPr>
          <w:rFonts w:ascii="宋体" w:hAnsi="宋体" w:cs="宋体"/>
          <w:sz w:val="22"/>
          <w:szCs w:val="22"/>
        </w:rPr>
        <w:br w:type="page"/>
      </w:r>
      <w:bookmarkStart w:id="86" w:name="_Toc17898196"/>
      <w:bookmarkStart w:id="87" w:name="_Toc17897950"/>
      <w:bookmarkStart w:id="88" w:name="_Toc481075065"/>
      <w:bookmarkStart w:id="89" w:name="_Toc438646467"/>
      <w:bookmarkStart w:id="90" w:name="_Toc490050018"/>
      <w:bookmarkStart w:id="91" w:name="_Toc512519497"/>
      <w:bookmarkStart w:id="92" w:name="_Toc513295859"/>
      <w:bookmarkStart w:id="93" w:name="_Toc513295909"/>
      <w:bookmarkStart w:id="94" w:name="_Toc18201"/>
      <w:bookmarkStart w:id="95" w:name="m501"/>
      <w:r w:rsidR="003B4FE0">
        <w:rPr>
          <w:rFonts w:hint="eastAsia"/>
        </w:rPr>
        <w:lastRenderedPageBreak/>
        <w:t>报告期末基金资产组合情况</w:t>
      </w:r>
      <w:bookmarkEnd w:id="86"/>
      <w:bookmarkEnd w:id="87"/>
      <w:bookmarkEnd w:id="88"/>
      <w:bookmarkEnd w:id="89"/>
      <w:bookmarkEnd w:id="90"/>
      <w:bookmarkEnd w:id="91"/>
      <w:bookmarkEnd w:id="92"/>
      <w:bookmarkEnd w:id="93"/>
      <w:r w:rsidR="003B4FE0">
        <w:rPr>
          <w:rFonts w:hint="eastAsia"/>
        </w:rPr>
        <w:t xml:space="preserve"> </w:t>
      </w:r>
    </w:p>
    <w:tbl>
      <w:tblPr>
        <w:tblW w:w="5000" w:type="pct"/>
        <w:tblCellMar>
          <w:left w:w="0" w:type="dxa"/>
          <w:right w:w="0" w:type="dxa"/>
        </w:tblCellMar>
        <w:tblLook w:val="04A0" w:firstRow="1" w:lastRow="0" w:firstColumn="1" w:lastColumn="0" w:noHBand="0" w:noVBand="1"/>
      </w:tblPr>
      <w:tblGrid>
        <w:gridCol w:w="580"/>
        <w:gridCol w:w="3284"/>
        <w:gridCol w:w="2220"/>
        <w:gridCol w:w="2212"/>
      </w:tblGrid>
      <w:tr w:rsidR="003B4FE0" w14:paraId="5CFC8C53"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shd w:val="clear" w:color="auto" w:fill="D9D9D9"/>
            <w:vAlign w:val="center"/>
          </w:tcPr>
          <w:p w14:paraId="572B5D32" w14:textId="77777777" w:rsidR="003B4FE0" w:rsidRDefault="003B4FE0" w:rsidP="00EA75CB">
            <w:pPr>
              <w:jc w:val="center"/>
              <w:rPr>
                <w:rFonts w:ascii="宋体" w:hAnsi="宋体"/>
                <w:color w:val="000000"/>
                <w:lang w:eastAsia="zh-Hans"/>
              </w:rPr>
            </w:pPr>
            <w:bookmarkStart w:id="96" w:name="m08QD_01_tab"/>
            <w:bookmarkEnd w:id="96"/>
            <w:r>
              <w:rPr>
                <w:rFonts w:ascii="宋体" w:hAnsi="宋体" w:hint="eastAsia"/>
                <w:color w:val="000000"/>
              </w:rPr>
              <w:t>序号</w:t>
            </w: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shd w:val="clear" w:color="auto" w:fill="D9D9D9"/>
            <w:vAlign w:val="center"/>
          </w:tcPr>
          <w:p w14:paraId="35A3341C" w14:textId="77777777" w:rsidR="003B4FE0" w:rsidRDefault="003B4FE0" w:rsidP="00EA75CB">
            <w:pPr>
              <w:jc w:val="center"/>
              <w:rPr>
                <w:rFonts w:ascii="宋体" w:hAnsi="宋体"/>
                <w:color w:val="000000"/>
                <w:lang w:eastAsia="zh-Hans"/>
              </w:rPr>
            </w:pPr>
            <w:r>
              <w:rPr>
                <w:rFonts w:ascii="宋体" w:hAnsi="宋体" w:hint="eastAsia"/>
                <w:color w:val="000000"/>
              </w:rPr>
              <w:t>项目</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shd w:val="clear" w:color="auto" w:fill="D9D9D9"/>
            <w:vAlign w:val="center"/>
          </w:tcPr>
          <w:p w14:paraId="5112F40E" w14:textId="77777777" w:rsidR="003B4FE0" w:rsidRDefault="003B4FE0" w:rsidP="00EA75CB">
            <w:pPr>
              <w:jc w:val="center"/>
              <w:rPr>
                <w:rFonts w:ascii="宋体" w:hAnsi="宋体"/>
                <w:color w:val="000000"/>
                <w:lang w:eastAsia="zh-Hans"/>
              </w:rPr>
            </w:pPr>
            <w:r>
              <w:rPr>
                <w:rFonts w:ascii="宋体" w:hAnsi="宋体" w:hint="eastAsia"/>
                <w:color w:val="000000"/>
              </w:rPr>
              <w:t>金额（元）</w:t>
            </w:r>
            <w:r>
              <w:rPr>
                <w:rFonts w:ascii="宋体" w:hAnsi="宋体" w:hint="eastAsia"/>
                <w:color w:val="000000"/>
                <w:lang w:eastAsia="zh-Hans"/>
              </w:rPr>
              <w:t xml:space="preserve"> </w:t>
            </w:r>
          </w:p>
        </w:tc>
        <w:tc>
          <w:tcPr>
            <w:tcW w:w="1333" w:type="pct"/>
            <w:tcBorders>
              <w:top w:val="single" w:sz="4" w:space="0" w:color="auto"/>
              <w:left w:val="nil"/>
              <w:bottom w:val="single" w:sz="4" w:space="0" w:color="auto"/>
              <w:right w:val="single" w:sz="4" w:space="0" w:color="auto"/>
            </w:tcBorders>
            <w:shd w:val="clear" w:color="auto" w:fill="D9D9D9"/>
            <w:vAlign w:val="center"/>
          </w:tcPr>
          <w:p w14:paraId="5F29ADC7" w14:textId="77777777" w:rsidR="003B4FE0" w:rsidRDefault="003B4FE0" w:rsidP="00EA75CB">
            <w:pPr>
              <w:jc w:val="center"/>
              <w:rPr>
                <w:rFonts w:ascii="宋体" w:hAnsi="宋体"/>
                <w:color w:val="000000"/>
                <w:lang w:eastAsia="zh-Hans"/>
              </w:rPr>
            </w:pPr>
            <w:r>
              <w:rPr>
                <w:rFonts w:ascii="宋体" w:hAnsi="宋体" w:hint="eastAsia"/>
                <w:color w:val="000000"/>
              </w:rPr>
              <w:t>占基金总资产的比例（</w:t>
            </w:r>
            <w:r>
              <w:rPr>
                <w:rFonts w:ascii="宋体" w:hAnsi="宋体" w:hint="eastAsia"/>
                <w:color w:val="000000"/>
                <w:lang w:eastAsia="zh-Hans"/>
              </w:rPr>
              <w:t>%</w:t>
            </w:r>
            <w:r>
              <w:rPr>
                <w:rFonts w:ascii="宋体" w:hAnsi="宋体" w:hint="eastAsia"/>
                <w:color w:val="000000"/>
              </w:rPr>
              <w:t>）</w:t>
            </w:r>
            <w:r>
              <w:rPr>
                <w:rFonts w:ascii="宋体" w:hAnsi="宋体" w:hint="eastAsia"/>
                <w:color w:val="000000"/>
                <w:lang w:eastAsia="zh-Hans"/>
              </w:rPr>
              <w:t xml:space="preserve"> </w:t>
            </w:r>
          </w:p>
        </w:tc>
      </w:tr>
      <w:tr w:rsidR="003B4FE0" w14:paraId="2A5D4493"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5FA02E9B"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1 </w:t>
            </w:r>
          </w:p>
        </w:tc>
        <w:tc>
          <w:tcPr>
            <w:tcW w:w="1979" w:type="pct"/>
            <w:tcBorders>
              <w:top w:val="single" w:sz="4" w:space="0" w:color="auto"/>
              <w:left w:val="nil"/>
              <w:bottom w:val="single" w:sz="4" w:space="0" w:color="auto"/>
              <w:right w:val="single" w:sz="4" w:space="0" w:color="auto"/>
            </w:tcBorders>
            <w:vAlign w:val="center"/>
          </w:tcPr>
          <w:p w14:paraId="1F28E413" w14:textId="77777777" w:rsidR="003B4FE0" w:rsidRDefault="003B4FE0" w:rsidP="00EA75CB">
            <w:pPr>
              <w:ind w:leftChars="50" w:left="105"/>
              <w:rPr>
                <w:rFonts w:ascii="宋体" w:hAnsi="宋体"/>
                <w:color w:val="000000"/>
                <w:lang w:eastAsia="zh-Hans"/>
              </w:rPr>
            </w:pPr>
            <w:r>
              <w:rPr>
                <w:rFonts w:ascii="宋体" w:hAnsi="宋体" w:hint="eastAsia"/>
                <w:color w:val="000000"/>
              </w:rPr>
              <w:t>权益投资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7EC278BA"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059E70E2" w14:textId="77777777" w:rsidR="003B4FE0" w:rsidRDefault="003B4FE0" w:rsidP="00EA75CB">
            <w:pPr>
              <w:jc w:val="right"/>
            </w:pPr>
            <w:r>
              <w:rPr>
                <w:rFonts w:ascii="宋体" w:hAnsi="宋体" w:hint="eastAsia"/>
                <w:lang w:eastAsia="zh-Hans"/>
              </w:rPr>
              <w:t>-</w:t>
            </w:r>
          </w:p>
        </w:tc>
      </w:tr>
      <w:tr w:rsidR="003B4FE0" w14:paraId="086CCF48"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571C9743"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14:paraId="7EE3D9B3" w14:textId="77777777" w:rsidR="003B4FE0" w:rsidRDefault="003B4FE0" w:rsidP="00EA75CB">
            <w:pPr>
              <w:ind w:leftChars="50" w:left="105"/>
              <w:rPr>
                <w:rFonts w:ascii="宋体" w:hAnsi="宋体"/>
                <w:color w:val="000000"/>
                <w:lang w:eastAsia="zh-Hans"/>
              </w:rPr>
            </w:pPr>
            <w:r>
              <w:rPr>
                <w:rFonts w:ascii="宋体" w:hAnsi="宋体" w:hint="eastAsia"/>
                <w:color w:val="000000"/>
              </w:rPr>
              <w:t>其中：股票</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0623AB9B"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217B0B4A" w14:textId="77777777" w:rsidR="003B4FE0" w:rsidRDefault="003B4FE0" w:rsidP="00EA75CB">
            <w:pPr>
              <w:jc w:val="right"/>
            </w:pPr>
            <w:r>
              <w:rPr>
                <w:rFonts w:ascii="宋体" w:hAnsi="宋体" w:hint="eastAsia"/>
                <w:lang w:eastAsia="zh-Hans"/>
              </w:rPr>
              <w:t>-</w:t>
            </w:r>
          </w:p>
        </w:tc>
      </w:tr>
      <w:tr w:rsidR="003B4FE0" w14:paraId="1E0894CA"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5158B5E0" w14:textId="77777777" w:rsidR="003B4FE0" w:rsidRDefault="003B4FE0" w:rsidP="00EA75CB">
            <w:pPr>
              <w:jc w:val="center"/>
            </w:pPr>
            <w:r>
              <w:rPr>
                <w:rFonts w:ascii="宋体" w:hAnsi="宋体" w:hint="eastAsia"/>
                <w:color w:val="000000"/>
                <w:lang w:eastAsia="zh-Hans"/>
              </w:rPr>
              <w:t>2</w:t>
            </w:r>
          </w:p>
        </w:tc>
        <w:tc>
          <w:tcPr>
            <w:tcW w:w="1979" w:type="pct"/>
            <w:tcBorders>
              <w:top w:val="single" w:sz="4" w:space="0" w:color="auto"/>
              <w:left w:val="nil"/>
              <w:bottom w:val="single" w:sz="4" w:space="0" w:color="auto"/>
              <w:right w:val="single" w:sz="4" w:space="0" w:color="auto"/>
            </w:tcBorders>
            <w:vAlign w:val="center"/>
          </w:tcPr>
          <w:p w14:paraId="53463F78" w14:textId="77777777" w:rsidR="003B4FE0" w:rsidRDefault="003B4FE0" w:rsidP="00EA75CB">
            <w:pPr>
              <w:ind w:leftChars="50" w:left="105"/>
              <w:rPr>
                <w:rFonts w:ascii="宋体" w:hAnsi="宋体"/>
                <w:color w:val="000000"/>
                <w:lang w:eastAsia="zh-Hans"/>
              </w:rPr>
            </w:pPr>
            <w:r>
              <w:rPr>
                <w:rFonts w:ascii="宋体" w:hAnsi="宋体" w:hint="eastAsia"/>
                <w:color w:val="000000"/>
              </w:rPr>
              <w:t>基金投资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48FDCA6A"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4B4B2CF5" w14:textId="77777777" w:rsidR="003B4FE0" w:rsidRDefault="003B4FE0" w:rsidP="00EA75CB">
            <w:pPr>
              <w:jc w:val="right"/>
            </w:pPr>
            <w:r>
              <w:rPr>
                <w:rFonts w:ascii="宋体" w:hAnsi="宋体" w:hint="eastAsia"/>
                <w:lang w:eastAsia="zh-Hans"/>
              </w:rPr>
              <w:t>-</w:t>
            </w:r>
          </w:p>
        </w:tc>
      </w:tr>
      <w:tr w:rsidR="003B4FE0" w14:paraId="7FDCAD0D"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4A40BE6F" w14:textId="77777777" w:rsidR="003B4FE0" w:rsidRDefault="003B4FE0" w:rsidP="00EA75CB">
            <w:pPr>
              <w:jc w:val="center"/>
              <w:rPr>
                <w:rFonts w:ascii="宋体" w:hAnsi="宋体"/>
                <w:color w:val="000000"/>
              </w:rPr>
            </w:pPr>
            <w:r>
              <w:rPr>
                <w:rFonts w:ascii="宋体" w:hAnsi="宋体" w:hint="eastAsia"/>
                <w:color w:val="000000"/>
                <w:lang w:eastAsia="zh-Hans"/>
              </w:rPr>
              <w:t>3</w:t>
            </w:r>
            <w:r>
              <w:rPr>
                <w:rFonts w:ascii="宋体" w:hAnsi="宋体" w:hint="eastAsia"/>
                <w:color w:val="000000"/>
              </w:rPr>
              <w:t xml:space="preserve"> </w:t>
            </w:r>
          </w:p>
        </w:tc>
        <w:tc>
          <w:tcPr>
            <w:tcW w:w="1979" w:type="pct"/>
            <w:tcBorders>
              <w:top w:val="single" w:sz="4" w:space="0" w:color="auto"/>
              <w:left w:val="nil"/>
              <w:bottom w:val="single" w:sz="4" w:space="0" w:color="auto"/>
              <w:right w:val="single" w:sz="4" w:space="0" w:color="auto"/>
            </w:tcBorders>
            <w:vAlign w:val="center"/>
          </w:tcPr>
          <w:p w14:paraId="30D672E1" w14:textId="77777777" w:rsidR="003B4FE0" w:rsidRDefault="003B4FE0" w:rsidP="00EA75CB">
            <w:pPr>
              <w:ind w:leftChars="50" w:left="105"/>
              <w:rPr>
                <w:rFonts w:ascii="宋体" w:hAnsi="宋体"/>
                <w:color w:val="000000"/>
                <w:lang w:eastAsia="zh-Hans"/>
              </w:rPr>
            </w:pPr>
            <w:r>
              <w:rPr>
                <w:rFonts w:ascii="宋体" w:hAnsi="宋体" w:hint="eastAsia"/>
                <w:color w:val="000000"/>
              </w:rPr>
              <w:t>固定收益投资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2E01F150" w14:textId="77777777" w:rsidR="003B4FE0" w:rsidRDefault="003B4FE0" w:rsidP="00EA75CB">
            <w:pPr>
              <w:jc w:val="right"/>
            </w:pPr>
            <w:r>
              <w:rPr>
                <w:rFonts w:ascii="宋体" w:hAnsi="宋体" w:hint="eastAsia"/>
                <w:lang w:eastAsia="zh-Hans"/>
              </w:rPr>
              <w:t>781,092,100.15</w:t>
            </w:r>
          </w:p>
        </w:tc>
        <w:tc>
          <w:tcPr>
            <w:tcW w:w="1333" w:type="pct"/>
            <w:tcBorders>
              <w:top w:val="single" w:sz="4" w:space="0" w:color="auto"/>
              <w:left w:val="nil"/>
              <w:bottom w:val="single" w:sz="4" w:space="0" w:color="auto"/>
              <w:right w:val="single" w:sz="4" w:space="0" w:color="auto"/>
            </w:tcBorders>
            <w:vAlign w:val="center"/>
          </w:tcPr>
          <w:p w14:paraId="1B936028" w14:textId="77777777" w:rsidR="003B4FE0" w:rsidRDefault="003B4FE0" w:rsidP="00EA75CB">
            <w:pPr>
              <w:jc w:val="right"/>
            </w:pPr>
            <w:r>
              <w:rPr>
                <w:rFonts w:ascii="宋体" w:hAnsi="宋体" w:hint="eastAsia"/>
                <w:lang w:eastAsia="zh-Hans"/>
              </w:rPr>
              <w:t>99.20</w:t>
            </w:r>
          </w:p>
        </w:tc>
      </w:tr>
      <w:tr w:rsidR="003B4FE0" w14:paraId="12A5424A"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4FE7D9B6"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14:paraId="0C97FD0D" w14:textId="77777777" w:rsidR="003B4FE0" w:rsidRDefault="003B4FE0" w:rsidP="00EA75CB">
            <w:pPr>
              <w:ind w:leftChars="50" w:left="105"/>
              <w:rPr>
                <w:rFonts w:ascii="宋体" w:hAnsi="宋体"/>
                <w:color w:val="000000"/>
                <w:lang w:eastAsia="zh-Hans"/>
              </w:rPr>
            </w:pPr>
            <w:r>
              <w:rPr>
                <w:rFonts w:ascii="宋体" w:hAnsi="宋体" w:hint="eastAsia"/>
                <w:color w:val="000000"/>
              </w:rPr>
              <w:t>其中：债券</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3DD39EB6" w14:textId="77777777" w:rsidR="003B4FE0" w:rsidRDefault="003B4FE0" w:rsidP="00EA75CB">
            <w:pPr>
              <w:jc w:val="right"/>
            </w:pPr>
            <w:r>
              <w:rPr>
                <w:rFonts w:ascii="宋体" w:hAnsi="宋体" w:hint="eastAsia"/>
                <w:lang w:eastAsia="zh-Hans"/>
              </w:rPr>
              <w:t>781,092,100.15</w:t>
            </w:r>
          </w:p>
        </w:tc>
        <w:tc>
          <w:tcPr>
            <w:tcW w:w="1333" w:type="pct"/>
            <w:tcBorders>
              <w:top w:val="single" w:sz="4" w:space="0" w:color="auto"/>
              <w:left w:val="nil"/>
              <w:bottom w:val="single" w:sz="4" w:space="0" w:color="auto"/>
              <w:right w:val="single" w:sz="4" w:space="0" w:color="auto"/>
            </w:tcBorders>
            <w:vAlign w:val="center"/>
          </w:tcPr>
          <w:p w14:paraId="7A7C6E6D" w14:textId="77777777" w:rsidR="003B4FE0" w:rsidRDefault="003B4FE0" w:rsidP="00EA75CB">
            <w:pPr>
              <w:jc w:val="right"/>
            </w:pPr>
            <w:r>
              <w:rPr>
                <w:rFonts w:ascii="宋体" w:hAnsi="宋体" w:hint="eastAsia"/>
                <w:lang w:eastAsia="zh-Hans"/>
              </w:rPr>
              <w:t>99.20</w:t>
            </w:r>
          </w:p>
        </w:tc>
      </w:tr>
      <w:tr w:rsidR="003B4FE0" w14:paraId="2BA87CAC"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68ECB991"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14:paraId="5C97E1B7" w14:textId="77777777" w:rsidR="003B4FE0" w:rsidRDefault="003B4FE0" w:rsidP="00EA75CB">
            <w:pPr>
              <w:ind w:leftChars="50" w:left="105"/>
              <w:rPr>
                <w:rFonts w:ascii="宋体" w:hAnsi="宋体"/>
                <w:color w:val="000000"/>
                <w:lang w:eastAsia="zh-Hans"/>
              </w:rPr>
            </w:pPr>
            <w:r>
              <w:rPr>
                <w:rFonts w:ascii="宋体" w:hAnsi="宋体" w:hint="eastAsia"/>
                <w:color w:val="000000"/>
                <w:lang w:eastAsia="zh-Hans"/>
              </w:rPr>
              <w:t xml:space="preserve">      </w:t>
            </w:r>
            <w:r>
              <w:rPr>
                <w:rFonts w:ascii="宋体" w:hAnsi="宋体" w:hint="eastAsia"/>
                <w:color w:val="000000"/>
              </w:rPr>
              <w:t>资产支持证券</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49BB14DA"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291BD433" w14:textId="77777777" w:rsidR="003B4FE0" w:rsidRDefault="003B4FE0" w:rsidP="00EA75CB">
            <w:pPr>
              <w:jc w:val="right"/>
            </w:pPr>
            <w:r>
              <w:rPr>
                <w:rFonts w:ascii="宋体" w:hAnsi="宋体" w:hint="eastAsia"/>
                <w:lang w:eastAsia="zh-Hans"/>
              </w:rPr>
              <w:t>-</w:t>
            </w:r>
          </w:p>
        </w:tc>
      </w:tr>
      <w:tr w:rsidR="003B4FE0" w14:paraId="71E83B07"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79C3ABA5"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4 </w:t>
            </w:r>
          </w:p>
        </w:tc>
        <w:tc>
          <w:tcPr>
            <w:tcW w:w="1979" w:type="pct"/>
            <w:tcBorders>
              <w:top w:val="single" w:sz="4" w:space="0" w:color="auto"/>
              <w:left w:val="nil"/>
              <w:bottom w:val="single" w:sz="4" w:space="0" w:color="auto"/>
              <w:right w:val="single" w:sz="4" w:space="0" w:color="auto"/>
            </w:tcBorders>
            <w:vAlign w:val="center"/>
          </w:tcPr>
          <w:p w14:paraId="629CDEFD" w14:textId="77777777" w:rsidR="003B4FE0" w:rsidRDefault="003B4FE0" w:rsidP="00EA75CB">
            <w:pPr>
              <w:ind w:leftChars="50" w:left="105"/>
              <w:rPr>
                <w:rFonts w:ascii="宋体" w:hAnsi="宋体"/>
                <w:color w:val="000000"/>
                <w:lang w:eastAsia="zh-Hans"/>
              </w:rPr>
            </w:pPr>
            <w:r>
              <w:rPr>
                <w:rFonts w:ascii="宋体" w:hAnsi="宋体" w:hint="eastAsia"/>
                <w:color w:val="000000"/>
              </w:rPr>
              <w:t>贵金属投资</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3723681A"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645D7F44" w14:textId="77777777" w:rsidR="003B4FE0" w:rsidRDefault="003B4FE0" w:rsidP="00EA75CB">
            <w:pPr>
              <w:jc w:val="right"/>
            </w:pPr>
            <w:r>
              <w:rPr>
                <w:rFonts w:ascii="宋体" w:hAnsi="宋体" w:hint="eastAsia"/>
                <w:lang w:eastAsia="zh-Hans"/>
              </w:rPr>
              <w:t>-</w:t>
            </w:r>
          </w:p>
        </w:tc>
      </w:tr>
      <w:tr w:rsidR="003B4FE0" w14:paraId="6F004824"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752D67E3"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5 </w:t>
            </w:r>
          </w:p>
        </w:tc>
        <w:tc>
          <w:tcPr>
            <w:tcW w:w="1979" w:type="pct"/>
            <w:tcBorders>
              <w:top w:val="single" w:sz="4" w:space="0" w:color="auto"/>
              <w:left w:val="nil"/>
              <w:bottom w:val="single" w:sz="4" w:space="0" w:color="auto"/>
              <w:right w:val="single" w:sz="4" w:space="0" w:color="auto"/>
            </w:tcBorders>
            <w:vAlign w:val="center"/>
          </w:tcPr>
          <w:p w14:paraId="69F7627A" w14:textId="77777777" w:rsidR="003B4FE0" w:rsidRDefault="003B4FE0" w:rsidP="00EA75CB">
            <w:pPr>
              <w:ind w:leftChars="50" w:left="105"/>
              <w:rPr>
                <w:rFonts w:ascii="宋体" w:hAnsi="宋体"/>
                <w:color w:val="000000"/>
                <w:lang w:eastAsia="zh-Hans"/>
              </w:rPr>
            </w:pPr>
            <w:r>
              <w:rPr>
                <w:rFonts w:ascii="宋体" w:hAnsi="宋体" w:hint="eastAsia"/>
                <w:color w:val="000000"/>
              </w:rPr>
              <w:t>金融衍生</w:t>
            </w:r>
            <w:proofErr w:type="gramStart"/>
            <w:r>
              <w:rPr>
                <w:rFonts w:ascii="宋体" w:hAnsi="宋体" w:hint="eastAsia"/>
                <w:color w:val="000000"/>
              </w:rPr>
              <w:t>品投资</w:t>
            </w:r>
            <w:proofErr w:type="gramEnd"/>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5289DBA1"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0DBB8C41" w14:textId="77777777" w:rsidR="003B4FE0" w:rsidRDefault="003B4FE0" w:rsidP="00EA75CB">
            <w:pPr>
              <w:jc w:val="right"/>
            </w:pPr>
            <w:r>
              <w:rPr>
                <w:rFonts w:ascii="宋体" w:hAnsi="宋体" w:hint="eastAsia"/>
                <w:lang w:eastAsia="zh-Hans"/>
              </w:rPr>
              <w:t>-</w:t>
            </w:r>
          </w:p>
        </w:tc>
      </w:tr>
      <w:tr w:rsidR="003B4FE0" w14:paraId="59CB615D"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78DC858F"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6 </w:t>
            </w:r>
          </w:p>
        </w:tc>
        <w:tc>
          <w:tcPr>
            <w:tcW w:w="1979" w:type="pct"/>
            <w:tcBorders>
              <w:top w:val="single" w:sz="4" w:space="0" w:color="auto"/>
              <w:left w:val="nil"/>
              <w:bottom w:val="single" w:sz="4" w:space="0" w:color="auto"/>
              <w:right w:val="single" w:sz="4" w:space="0" w:color="auto"/>
            </w:tcBorders>
            <w:vAlign w:val="center"/>
          </w:tcPr>
          <w:p w14:paraId="3EFCC226" w14:textId="77777777" w:rsidR="003B4FE0" w:rsidRDefault="003B4FE0" w:rsidP="00EA75CB">
            <w:pPr>
              <w:ind w:leftChars="50" w:left="105"/>
              <w:rPr>
                <w:rFonts w:ascii="宋体" w:hAnsi="宋体"/>
                <w:color w:val="000000"/>
                <w:lang w:eastAsia="zh-Hans"/>
              </w:rPr>
            </w:pPr>
            <w:r>
              <w:rPr>
                <w:rFonts w:ascii="宋体" w:hAnsi="宋体" w:hint="eastAsia"/>
                <w:color w:val="000000"/>
              </w:rPr>
              <w:t>买入返售金融资产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01B107BF"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7F82D8FD" w14:textId="77777777" w:rsidR="003B4FE0" w:rsidRDefault="003B4FE0" w:rsidP="00EA75CB">
            <w:pPr>
              <w:jc w:val="right"/>
            </w:pPr>
            <w:r>
              <w:rPr>
                <w:rFonts w:ascii="宋体" w:hAnsi="宋体" w:hint="eastAsia"/>
                <w:lang w:eastAsia="zh-Hans"/>
              </w:rPr>
              <w:t>-</w:t>
            </w:r>
          </w:p>
        </w:tc>
      </w:tr>
      <w:tr w:rsidR="003B4FE0" w14:paraId="064F9EF2"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6A631C80"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　 </w:t>
            </w:r>
          </w:p>
        </w:tc>
        <w:tc>
          <w:tcPr>
            <w:tcW w:w="1979" w:type="pct"/>
            <w:tcBorders>
              <w:top w:val="single" w:sz="4" w:space="0" w:color="auto"/>
              <w:left w:val="nil"/>
              <w:bottom w:val="single" w:sz="4" w:space="0" w:color="auto"/>
              <w:right w:val="single" w:sz="4" w:space="0" w:color="auto"/>
            </w:tcBorders>
            <w:vAlign w:val="center"/>
          </w:tcPr>
          <w:p w14:paraId="77495408" w14:textId="77777777" w:rsidR="003B4FE0" w:rsidRDefault="003B4FE0" w:rsidP="00EA75CB">
            <w:pPr>
              <w:ind w:leftChars="50" w:left="105"/>
              <w:rPr>
                <w:rFonts w:ascii="宋体" w:hAnsi="宋体"/>
                <w:color w:val="000000"/>
                <w:lang w:eastAsia="zh-Hans"/>
              </w:rPr>
            </w:pPr>
            <w:r>
              <w:rPr>
                <w:rFonts w:ascii="宋体" w:hAnsi="宋体" w:hint="eastAsia"/>
                <w:color w:val="000000"/>
              </w:rPr>
              <w:t>其中：买断式回购的买入返售金融资产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5329A892" w14:textId="77777777" w:rsidR="003B4FE0" w:rsidRDefault="003B4FE0" w:rsidP="00EA75CB">
            <w:pPr>
              <w:jc w:val="right"/>
            </w:pPr>
            <w:r>
              <w:rPr>
                <w:rFonts w:ascii="宋体" w:hAnsi="宋体" w:hint="eastAsia"/>
                <w:lang w:eastAsia="zh-Hans"/>
              </w:rPr>
              <w:t>-</w:t>
            </w:r>
          </w:p>
        </w:tc>
        <w:tc>
          <w:tcPr>
            <w:tcW w:w="1333" w:type="pct"/>
            <w:tcBorders>
              <w:top w:val="single" w:sz="4" w:space="0" w:color="auto"/>
              <w:left w:val="nil"/>
              <w:bottom w:val="single" w:sz="4" w:space="0" w:color="auto"/>
              <w:right w:val="single" w:sz="4" w:space="0" w:color="auto"/>
            </w:tcBorders>
            <w:vAlign w:val="center"/>
          </w:tcPr>
          <w:p w14:paraId="0034D803" w14:textId="77777777" w:rsidR="003B4FE0" w:rsidRDefault="003B4FE0" w:rsidP="00EA75CB">
            <w:pPr>
              <w:jc w:val="right"/>
            </w:pPr>
            <w:r>
              <w:rPr>
                <w:rFonts w:ascii="宋体" w:hAnsi="宋体" w:hint="eastAsia"/>
                <w:lang w:eastAsia="zh-Hans"/>
              </w:rPr>
              <w:t>-</w:t>
            </w:r>
          </w:p>
        </w:tc>
      </w:tr>
      <w:tr w:rsidR="003B4FE0" w14:paraId="1FEE31FF"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379151B4" w14:textId="77777777" w:rsidR="003B4FE0" w:rsidRDefault="003B4FE0" w:rsidP="00EA75CB">
            <w:pPr>
              <w:jc w:val="center"/>
              <w:rPr>
                <w:rFonts w:ascii="宋体" w:hAnsi="宋体"/>
                <w:color w:val="000000"/>
                <w:lang w:eastAsia="zh-Hans"/>
              </w:rPr>
            </w:pPr>
            <w:r>
              <w:rPr>
                <w:rFonts w:ascii="宋体" w:hAnsi="宋体" w:hint="eastAsia"/>
                <w:color w:val="000000"/>
                <w:lang w:eastAsia="zh-Hans"/>
              </w:rPr>
              <w:t xml:space="preserve">7 </w:t>
            </w:r>
          </w:p>
        </w:tc>
        <w:tc>
          <w:tcPr>
            <w:tcW w:w="1979" w:type="pct"/>
            <w:tcBorders>
              <w:top w:val="single" w:sz="4" w:space="0" w:color="auto"/>
              <w:left w:val="nil"/>
              <w:bottom w:val="single" w:sz="4" w:space="0" w:color="auto"/>
              <w:right w:val="single" w:sz="4" w:space="0" w:color="auto"/>
            </w:tcBorders>
            <w:vAlign w:val="center"/>
          </w:tcPr>
          <w:p w14:paraId="5CF8398C" w14:textId="77777777" w:rsidR="003B4FE0" w:rsidRDefault="003B4FE0" w:rsidP="00EA75CB">
            <w:pPr>
              <w:ind w:leftChars="50" w:left="105"/>
              <w:rPr>
                <w:rFonts w:ascii="宋体" w:hAnsi="宋体"/>
                <w:color w:val="000000"/>
                <w:lang w:eastAsia="zh-Hans"/>
              </w:rPr>
            </w:pPr>
            <w:r>
              <w:rPr>
                <w:rFonts w:ascii="宋体" w:hAnsi="宋体" w:hint="eastAsia"/>
                <w:color w:val="000000"/>
              </w:rPr>
              <w:t>银行存款和结算备付金合计</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39C48AAC" w14:textId="77777777" w:rsidR="003B4FE0" w:rsidRDefault="003B4FE0" w:rsidP="00EA75CB">
            <w:pPr>
              <w:jc w:val="right"/>
            </w:pPr>
            <w:r>
              <w:rPr>
                <w:rFonts w:ascii="宋体" w:hAnsi="宋体" w:hint="eastAsia"/>
                <w:lang w:eastAsia="zh-Hans"/>
              </w:rPr>
              <w:t>5,806,725.10</w:t>
            </w:r>
          </w:p>
        </w:tc>
        <w:tc>
          <w:tcPr>
            <w:tcW w:w="1333" w:type="pct"/>
            <w:tcBorders>
              <w:top w:val="single" w:sz="4" w:space="0" w:color="auto"/>
              <w:left w:val="nil"/>
              <w:bottom w:val="single" w:sz="4" w:space="0" w:color="auto"/>
              <w:right w:val="single" w:sz="4" w:space="0" w:color="auto"/>
            </w:tcBorders>
            <w:vAlign w:val="center"/>
          </w:tcPr>
          <w:p w14:paraId="4408C805" w14:textId="77777777" w:rsidR="003B4FE0" w:rsidRDefault="003B4FE0" w:rsidP="00EA75CB">
            <w:pPr>
              <w:jc w:val="right"/>
            </w:pPr>
            <w:r>
              <w:rPr>
                <w:rFonts w:ascii="宋体" w:hAnsi="宋体" w:hint="eastAsia"/>
                <w:lang w:eastAsia="zh-Hans"/>
              </w:rPr>
              <w:t>0.74</w:t>
            </w:r>
          </w:p>
        </w:tc>
      </w:tr>
      <w:tr w:rsidR="003B4FE0" w14:paraId="11D97E18"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1000D6BC" w14:textId="77777777" w:rsidR="003B4FE0" w:rsidRDefault="003B4FE0" w:rsidP="00EA75CB">
            <w:pPr>
              <w:jc w:val="center"/>
            </w:pPr>
            <w:r>
              <w:rPr>
                <w:rFonts w:ascii="宋体" w:hAnsi="宋体" w:hint="eastAsia"/>
                <w:color w:val="000000"/>
                <w:lang w:eastAsia="zh-Hans"/>
              </w:rPr>
              <w:t>8</w:t>
            </w:r>
          </w:p>
        </w:tc>
        <w:tc>
          <w:tcPr>
            <w:tcW w:w="1979" w:type="pct"/>
            <w:tcBorders>
              <w:top w:val="single" w:sz="4" w:space="0" w:color="auto"/>
              <w:left w:val="nil"/>
              <w:bottom w:val="single" w:sz="4" w:space="0" w:color="auto"/>
              <w:right w:val="single" w:sz="4" w:space="0" w:color="auto"/>
            </w:tcBorders>
            <w:vAlign w:val="center"/>
          </w:tcPr>
          <w:p w14:paraId="0B3AAEA3" w14:textId="77777777" w:rsidR="003B4FE0" w:rsidRDefault="003B4FE0" w:rsidP="00EA75CB">
            <w:pPr>
              <w:ind w:leftChars="50" w:left="105"/>
              <w:rPr>
                <w:rFonts w:ascii="宋体" w:hAnsi="宋体"/>
                <w:color w:val="000000"/>
                <w:lang w:eastAsia="zh-Hans"/>
              </w:rPr>
            </w:pPr>
            <w:r>
              <w:rPr>
                <w:rFonts w:ascii="宋体" w:hAnsi="宋体" w:hint="eastAsia"/>
                <w:color w:val="000000"/>
              </w:rPr>
              <w:t>其他资产</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654A4980" w14:textId="77777777" w:rsidR="003B4FE0" w:rsidRDefault="003B4FE0" w:rsidP="00EA75CB">
            <w:pPr>
              <w:jc w:val="right"/>
            </w:pPr>
            <w:r>
              <w:rPr>
                <w:rFonts w:ascii="宋体" w:hAnsi="宋体" w:hint="eastAsia"/>
                <w:lang w:eastAsia="zh-Hans"/>
              </w:rPr>
              <w:t>502,344.73</w:t>
            </w:r>
          </w:p>
        </w:tc>
        <w:tc>
          <w:tcPr>
            <w:tcW w:w="1333" w:type="pct"/>
            <w:tcBorders>
              <w:top w:val="single" w:sz="4" w:space="0" w:color="auto"/>
              <w:left w:val="nil"/>
              <w:bottom w:val="single" w:sz="4" w:space="0" w:color="auto"/>
              <w:right w:val="single" w:sz="4" w:space="0" w:color="auto"/>
            </w:tcBorders>
            <w:vAlign w:val="center"/>
          </w:tcPr>
          <w:p w14:paraId="6DF2ACBB" w14:textId="77777777" w:rsidR="003B4FE0" w:rsidRDefault="003B4FE0" w:rsidP="00EA75CB">
            <w:pPr>
              <w:jc w:val="right"/>
            </w:pPr>
            <w:r>
              <w:rPr>
                <w:rFonts w:ascii="宋体" w:hAnsi="宋体" w:hint="eastAsia"/>
                <w:lang w:eastAsia="zh-Hans"/>
              </w:rPr>
              <w:t>0.06</w:t>
            </w:r>
          </w:p>
        </w:tc>
      </w:tr>
      <w:tr w:rsidR="003B4FE0" w14:paraId="3726BDB3" w14:textId="77777777" w:rsidTr="00EA75CB">
        <w:trPr>
          <w:trHeight w:val="20"/>
        </w:trPr>
        <w:tc>
          <w:tcPr>
            <w:tcW w:w="350" w:type="pct"/>
            <w:tcBorders>
              <w:top w:val="single" w:sz="4" w:space="0" w:color="auto"/>
              <w:left w:val="single" w:sz="4" w:space="0" w:color="auto"/>
              <w:bottom w:val="single" w:sz="4" w:space="0" w:color="auto"/>
              <w:right w:val="single" w:sz="4" w:space="0" w:color="auto"/>
            </w:tcBorders>
            <w:vAlign w:val="center"/>
          </w:tcPr>
          <w:p w14:paraId="5FC71172" w14:textId="77777777" w:rsidR="003B4FE0" w:rsidRDefault="003B4FE0" w:rsidP="00EA75CB">
            <w:pPr>
              <w:jc w:val="center"/>
            </w:pPr>
            <w:r>
              <w:rPr>
                <w:rFonts w:ascii="宋体" w:hAnsi="宋体" w:hint="eastAsia"/>
                <w:color w:val="000000"/>
                <w:lang w:eastAsia="zh-Hans"/>
              </w:rPr>
              <w:t>9</w:t>
            </w:r>
          </w:p>
        </w:tc>
        <w:tc>
          <w:tcPr>
            <w:tcW w:w="1979" w:type="pct"/>
            <w:tcBorders>
              <w:top w:val="single" w:sz="4" w:space="0" w:color="auto"/>
              <w:left w:val="nil"/>
              <w:bottom w:val="single" w:sz="4" w:space="0" w:color="auto"/>
              <w:right w:val="single" w:sz="4" w:space="0" w:color="auto"/>
            </w:tcBorders>
            <w:vAlign w:val="center"/>
          </w:tcPr>
          <w:p w14:paraId="72F51B20" w14:textId="77777777" w:rsidR="003B4FE0" w:rsidRDefault="003B4FE0" w:rsidP="00EA75CB">
            <w:pPr>
              <w:ind w:leftChars="50" w:left="105"/>
              <w:rPr>
                <w:rFonts w:ascii="宋体" w:hAnsi="宋体"/>
                <w:color w:val="000000"/>
                <w:lang w:eastAsia="zh-Hans"/>
              </w:rPr>
            </w:pPr>
            <w:r>
              <w:rPr>
                <w:rFonts w:ascii="宋体" w:hAnsi="宋体" w:hint="eastAsia"/>
                <w:color w:val="000000"/>
              </w:rPr>
              <w:t>合计</w:t>
            </w:r>
            <w:r>
              <w:rPr>
                <w:rFonts w:ascii="宋体" w:hAnsi="宋体" w:hint="eastAsia"/>
                <w:color w:val="000000"/>
                <w:lang w:eastAsia="zh-Hans"/>
              </w:rPr>
              <w:t xml:space="preserve"> </w:t>
            </w:r>
          </w:p>
        </w:tc>
        <w:tc>
          <w:tcPr>
            <w:tcW w:w="1338" w:type="pct"/>
            <w:tcBorders>
              <w:top w:val="single" w:sz="4" w:space="0" w:color="auto"/>
              <w:left w:val="nil"/>
              <w:bottom w:val="single" w:sz="4" w:space="0" w:color="auto"/>
              <w:right w:val="single" w:sz="4" w:space="0" w:color="auto"/>
            </w:tcBorders>
            <w:vAlign w:val="center"/>
          </w:tcPr>
          <w:p w14:paraId="401E9D3A" w14:textId="77777777" w:rsidR="003B4FE0" w:rsidRDefault="003B4FE0" w:rsidP="00EA75CB">
            <w:pPr>
              <w:jc w:val="right"/>
            </w:pPr>
            <w:r>
              <w:rPr>
                <w:rFonts w:ascii="宋体" w:hAnsi="宋体" w:hint="eastAsia"/>
                <w:lang w:eastAsia="zh-Hans"/>
              </w:rPr>
              <w:t>787,401,169.98</w:t>
            </w:r>
          </w:p>
        </w:tc>
        <w:tc>
          <w:tcPr>
            <w:tcW w:w="1333" w:type="pct"/>
            <w:tcBorders>
              <w:top w:val="single" w:sz="4" w:space="0" w:color="auto"/>
              <w:left w:val="nil"/>
              <w:bottom w:val="single" w:sz="4" w:space="0" w:color="auto"/>
              <w:right w:val="single" w:sz="4" w:space="0" w:color="auto"/>
            </w:tcBorders>
            <w:vAlign w:val="center"/>
          </w:tcPr>
          <w:p w14:paraId="7182849F" w14:textId="77777777" w:rsidR="003B4FE0" w:rsidRDefault="003B4FE0" w:rsidP="00EA75CB">
            <w:pPr>
              <w:jc w:val="right"/>
            </w:pPr>
            <w:r>
              <w:rPr>
                <w:rFonts w:ascii="宋体" w:hAnsi="宋体" w:hint="eastAsia"/>
                <w:lang w:eastAsia="zh-Hans"/>
              </w:rPr>
              <w:t>100.00</w:t>
            </w:r>
          </w:p>
        </w:tc>
      </w:tr>
    </w:tbl>
    <w:p w14:paraId="64485245" w14:textId="77777777" w:rsidR="003B4FE0" w:rsidRPr="00976A84" w:rsidRDefault="003B4FE0" w:rsidP="003B4FE0">
      <w:pPr>
        <w:pStyle w:val="XBRLTitle2"/>
        <w:spacing w:before="156" w:after="156"/>
      </w:pPr>
      <w:bookmarkStart w:id="97" w:name="_Toc17898197"/>
      <w:bookmarkStart w:id="98" w:name="_Toc17897951"/>
      <w:bookmarkStart w:id="99" w:name="_Toc512519498"/>
      <w:bookmarkStart w:id="100" w:name="_Toc481075066"/>
      <w:bookmarkStart w:id="101" w:name="_Toc438646468"/>
      <w:bookmarkStart w:id="102" w:name="_Toc490050019"/>
      <w:bookmarkStart w:id="103" w:name="_Toc513295860"/>
      <w:bookmarkStart w:id="104" w:name="_Toc513295910"/>
      <w:r w:rsidRPr="00976A84">
        <w:rPr>
          <w:rFonts w:hint="eastAsia"/>
        </w:rPr>
        <w:t>报告期末按行业分类的股票投资组合</w:t>
      </w:r>
      <w:bookmarkEnd w:id="97"/>
      <w:bookmarkEnd w:id="98"/>
      <w:bookmarkEnd w:id="99"/>
      <w:bookmarkEnd w:id="100"/>
      <w:bookmarkEnd w:id="101"/>
      <w:bookmarkEnd w:id="102"/>
      <w:bookmarkEnd w:id="103"/>
      <w:bookmarkEnd w:id="104"/>
      <w:r w:rsidRPr="00976A84">
        <w:rPr>
          <w:rFonts w:hint="eastAsia"/>
        </w:rPr>
        <w:t xml:space="preserve"> </w:t>
      </w:r>
    </w:p>
    <w:p w14:paraId="4588FD87" w14:textId="77777777" w:rsidR="003B4FE0" w:rsidRDefault="003B4FE0" w:rsidP="003B4FE0">
      <w:pPr>
        <w:pStyle w:val="XBRLTitle3"/>
        <w:spacing w:before="156" w:after="156"/>
      </w:pPr>
      <w:bookmarkStart w:id="105" w:name="_Toc17898198"/>
      <w:bookmarkStart w:id="106" w:name="_Toc481075067"/>
      <w:bookmarkStart w:id="107" w:name="_Toc490050020"/>
      <w:bookmarkStart w:id="108" w:name="_Toc512519499"/>
      <w:bookmarkStart w:id="109" w:name="_Toc513295911"/>
      <w:r>
        <w:rPr>
          <w:rFonts w:hint="eastAsia"/>
        </w:rPr>
        <w:t>报告期末按行业分类的境内股票投资组合</w:t>
      </w:r>
      <w:bookmarkEnd w:id="105"/>
      <w:bookmarkEnd w:id="106"/>
      <w:bookmarkEnd w:id="107"/>
      <w:bookmarkEnd w:id="108"/>
      <w:bookmarkEnd w:id="109"/>
      <w:r>
        <w:rPr>
          <w:rFonts w:hint="eastAsia"/>
        </w:rPr>
        <w:t xml:space="preserve"> </w:t>
      </w:r>
    </w:p>
    <w:p w14:paraId="3373036E" w14:textId="77777777" w:rsidR="003B4FE0" w:rsidRDefault="003B4FE0" w:rsidP="003B4FE0">
      <w:pPr>
        <w:spacing w:line="360" w:lineRule="auto"/>
        <w:ind w:firstLineChars="200" w:firstLine="420"/>
      </w:pPr>
      <w:r>
        <w:rPr>
          <w:rFonts w:ascii="宋体" w:hAnsi="宋体" w:hint="eastAsia"/>
          <w:lang w:eastAsia="zh-Hans"/>
        </w:rPr>
        <w:t>本基金本报告期末未持有境内股票。</w:t>
      </w:r>
    </w:p>
    <w:p w14:paraId="5E574F34" w14:textId="77777777" w:rsidR="003B4FE0" w:rsidRDefault="003B4FE0" w:rsidP="003B4FE0">
      <w:pPr>
        <w:pStyle w:val="XBRLTitle3"/>
        <w:spacing w:before="156" w:after="156"/>
        <w:rPr>
          <w:szCs w:val="24"/>
        </w:rPr>
      </w:pPr>
      <w:bookmarkStart w:id="110" w:name="m502_tab"/>
      <w:bookmarkStart w:id="111" w:name="_Toc17898199"/>
      <w:bookmarkStart w:id="112" w:name="_Toc481075068"/>
      <w:bookmarkStart w:id="113" w:name="_Toc490050021"/>
      <w:bookmarkStart w:id="114" w:name="_Toc512519500"/>
      <w:bookmarkStart w:id="115" w:name="_Toc513295912"/>
      <w:bookmarkEnd w:id="110"/>
      <w:r>
        <w:rPr>
          <w:rFonts w:hint="eastAsia"/>
        </w:rPr>
        <w:t>报告期末按行业分类的港股通投资股票投资组合</w:t>
      </w:r>
      <w:bookmarkEnd w:id="111"/>
      <w:bookmarkEnd w:id="112"/>
      <w:bookmarkEnd w:id="113"/>
      <w:bookmarkEnd w:id="114"/>
      <w:bookmarkEnd w:id="115"/>
      <w:r>
        <w:rPr>
          <w:rFonts w:hint="eastAsia"/>
          <w:szCs w:val="24"/>
        </w:rPr>
        <w:t xml:space="preserve"> </w:t>
      </w:r>
    </w:p>
    <w:p w14:paraId="5686593A" w14:textId="77777777" w:rsidR="003B4FE0" w:rsidRDefault="003B4FE0" w:rsidP="003B4FE0">
      <w:pPr>
        <w:spacing w:line="360" w:lineRule="auto"/>
        <w:ind w:firstLineChars="200" w:firstLine="420"/>
      </w:pPr>
      <w:r>
        <w:rPr>
          <w:rFonts w:ascii="宋体" w:hAnsi="宋体" w:hint="eastAsia"/>
          <w:szCs w:val="21"/>
          <w:lang w:eastAsia="zh-Hans"/>
        </w:rPr>
        <w:t>本基金本报告期末未持有港股通股票。</w:t>
      </w:r>
    </w:p>
    <w:p w14:paraId="7B19F004" w14:textId="77777777" w:rsidR="003B4FE0" w:rsidRDefault="003B4FE0" w:rsidP="003B4FE0">
      <w:pPr>
        <w:pStyle w:val="XBRLTitle2"/>
        <w:spacing w:before="156" w:after="156"/>
      </w:pPr>
      <w:bookmarkStart w:id="116" w:name="_Toc178982961"/>
      <w:bookmarkStart w:id="117" w:name="_Toc17897958"/>
      <w:bookmarkStart w:id="118" w:name="_Toc485300375"/>
      <w:bookmarkStart w:id="119" w:name="_Toc453852755"/>
      <w:bookmarkStart w:id="120" w:name="_Toc452398761"/>
      <w:bookmarkStart w:id="121" w:name="_Toc454983410"/>
      <w:bookmarkStart w:id="122" w:name="_Toc497398255"/>
      <w:bookmarkStart w:id="123" w:name="_Toc506208451"/>
      <w:bookmarkStart w:id="124" w:name="m08QD_10"/>
      <w:r>
        <w:rPr>
          <w:rFonts w:hint="eastAsia"/>
        </w:rPr>
        <w:t>期末按公允价值占基金资产净值比例大小排序的股票投资明细</w:t>
      </w:r>
      <w:bookmarkEnd w:id="116"/>
      <w:bookmarkEnd w:id="117"/>
      <w:bookmarkEnd w:id="118"/>
      <w:bookmarkEnd w:id="119"/>
      <w:bookmarkEnd w:id="120"/>
      <w:bookmarkEnd w:id="121"/>
      <w:bookmarkEnd w:id="122"/>
      <w:bookmarkEnd w:id="123"/>
    </w:p>
    <w:p w14:paraId="2D19C383" w14:textId="77777777" w:rsidR="003B4FE0" w:rsidRDefault="003B4FE0" w:rsidP="003B4FE0">
      <w:pPr>
        <w:pStyle w:val="XBRLTitle3"/>
        <w:spacing w:before="156" w:after="156"/>
      </w:pPr>
      <w:bookmarkStart w:id="125" w:name="_Toc178982962"/>
      <w:bookmarkStart w:id="126" w:name="_Toc485300376"/>
      <w:bookmarkStart w:id="127" w:name="_Toc497398256"/>
      <w:bookmarkStart w:id="128" w:name="_Toc453852756"/>
      <w:bookmarkStart w:id="129" w:name="_Toc454983411"/>
      <w:r>
        <w:rPr>
          <w:rFonts w:hAnsi="宋体" w:hint="eastAsia"/>
        </w:rPr>
        <w:t>报告期末按公允价值占基金资产净值比例大小排序的前十名股票投资明细</w:t>
      </w:r>
      <w:bookmarkEnd w:id="124"/>
      <w:bookmarkEnd w:id="125"/>
      <w:bookmarkEnd w:id="126"/>
      <w:bookmarkEnd w:id="127"/>
      <w:bookmarkEnd w:id="128"/>
      <w:bookmarkEnd w:id="129"/>
    </w:p>
    <w:p w14:paraId="506E4E62" w14:textId="77777777" w:rsidR="003B4FE0" w:rsidRDefault="003B4FE0" w:rsidP="003B4FE0">
      <w:pPr>
        <w:spacing w:line="360" w:lineRule="auto"/>
        <w:ind w:firstLineChars="200" w:firstLine="420"/>
        <w:jc w:val="left"/>
      </w:pPr>
      <w:r>
        <w:rPr>
          <w:rFonts w:ascii="宋体" w:hAnsi="宋体" w:hint="eastAsia"/>
          <w:color w:val="000000"/>
          <w:lang w:eastAsia="zh-Hans"/>
        </w:rPr>
        <w:t>本基金本报告期末未持有股票。</w:t>
      </w:r>
    </w:p>
    <w:p w14:paraId="32C1DE9E" w14:textId="77777777" w:rsidR="003B4FE0" w:rsidRDefault="003B4FE0" w:rsidP="003B4FE0">
      <w:pPr>
        <w:pStyle w:val="XBRLTitle2"/>
        <w:spacing w:before="156" w:after="156" w:line="360" w:lineRule="auto"/>
        <w:rPr>
          <w:rFonts w:hAnsi="宋体"/>
        </w:rPr>
      </w:pPr>
      <w:bookmarkStart w:id="130" w:name="_Toc17898201"/>
      <w:bookmarkStart w:id="131" w:name="_Toc17897953"/>
      <w:bookmarkStart w:id="132" w:name="_Toc481075070"/>
      <w:bookmarkStart w:id="133" w:name="_Toc438646471"/>
      <w:bookmarkStart w:id="134" w:name="_Toc490050023"/>
      <w:bookmarkStart w:id="135" w:name="_Toc512519502"/>
      <w:bookmarkStart w:id="136" w:name="_Toc513295862"/>
      <w:bookmarkStart w:id="137" w:name="_Toc513295914"/>
      <w:bookmarkStart w:id="138" w:name="m505"/>
      <w:r>
        <w:rPr>
          <w:rFonts w:hAnsi="宋体" w:hint="eastAsia"/>
        </w:rPr>
        <w:t>报告期末按债券品种分类的债券投资组合</w:t>
      </w:r>
      <w:bookmarkEnd w:id="130"/>
      <w:bookmarkEnd w:id="131"/>
      <w:bookmarkEnd w:id="132"/>
      <w:bookmarkEnd w:id="133"/>
      <w:bookmarkEnd w:id="134"/>
      <w:bookmarkEnd w:id="135"/>
      <w:bookmarkEnd w:id="136"/>
      <w:bookmarkEnd w:id="137"/>
      <w:r>
        <w:rPr>
          <w:rFonts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4A0" w:firstRow="1" w:lastRow="0" w:firstColumn="1" w:lastColumn="0" w:noHBand="0" w:noVBand="1"/>
      </w:tblPr>
      <w:tblGrid>
        <w:gridCol w:w="874"/>
        <w:gridCol w:w="2107"/>
        <w:gridCol w:w="2109"/>
        <w:gridCol w:w="3206"/>
      </w:tblGrid>
      <w:tr w:rsidR="003B4FE0" w14:paraId="2E5ACC85"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shd w:val="clear" w:color="auto" w:fill="D9D9D9"/>
            <w:vAlign w:val="center"/>
          </w:tcPr>
          <w:p w14:paraId="52862525" w14:textId="77777777" w:rsidR="003B4FE0" w:rsidRDefault="003B4FE0" w:rsidP="00EA75CB">
            <w:pPr>
              <w:jc w:val="center"/>
              <w:rPr>
                <w:rFonts w:ascii="宋体" w:hAnsi="宋体"/>
                <w:color w:val="000000"/>
              </w:rPr>
            </w:pPr>
            <w:r>
              <w:rPr>
                <w:rFonts w:ascii="宋体" w:hAnsi="宋体" w:hint="eastAsia"/>
                <w:color w:val="000000"/>
              </w:rPr>
              <w:t xml:space="preserve">序号 </w:t>
            </w:r>
          </w:p>
        </w:tc>
        <w:tc>
          <w:tcPr>
            <w:tcW w:w="1270" w:type="pct"/>
            <w:tcBorders>
              <w:top w:val="single" w:sz="4" w:space="0" w:color="auto"/>
              <w:left w:val="single" w:sz="4" w:space="0" w:color="auto"/>
              <w:bottom w:val="single" w:sz="4" w:space="0" w:color="auto"/>
              <w:right w:val="single" w:sz="4" w:space="0" w:color="auto"/>
            </w:tcBorders>
            <w:shd w:val="clear" w:color="auto" w:fill="D9D9D9"/>
            <w:vAlign w:val="center"/>
          </w:tcPr>
          <w:p w14:paraId="7F4BDCCC" w14:textId="77777777" w:rsidR="003B4FE0" w:rsidRDefault="003B4FE0" w:rsidP="00EA75CB">
            <w:pPr>
              <w:jc w:val="center"/>
              <w:rPr>
                <w:rFonts w:ascii="宋体" w:hAnsi="宋体"/>
                <w:color w:val="000000"/>
              </w:rPr>
            </w:pPr>
            <w:r>
              <w:rPr>
                <w:rFonts w:ascii="宋体" w:hAnsi="宋体" w:hint="eastAsia"/>
                <w:color w:val="000000"/>
              </w:rPr>
              <w:t xml:space="preserve">债券品种 </w:t>
            </w:r>
          </w:p>
        </w:tc>
        <w:tc>
          <w:tcPr>
            <w:tcW w:w="1271" w:type="pct"/>
            <w:tcBorders>
              <w:top w:val="single" w:sz="4" w:space="0" w:color="auto"/>
              <w:left w:val="single" w:sz="4" w:space="0" w:color="auto"/>
              <w:bottom w:val="single" w:sz="4" w:space="0" w:color="auto"/>
              <w:right w:val="single" w:sz="4" w:space="0" w:color="auto"/>
            </w:tcBorders>
            <w:shd w:val="clear" w:color="auto" w:fill="D9D9D9"/>
            <w:vAlign w:val="center"/>
          </w:tcPr>
          <w:p w14:paraId="1C626E94" w14:textId="77777777" w:rsidR="003B4FE0" w:rsidRDefault="003B4FE0" w:rsidP="00EA75CB">
            <w:pPr>
              <w:jc w:val="center"/>
              <w:rPr>
                <w:rFonts w:ascii="宋体" w:hAnsi="宋体"/>
                <w:color w:val="000000"/>
              </w:rPr>
            </w:pPr>
            <w:r>
              <w:rPr>
                <w:rFonts w:ascii="宋体" w:hAnsi="宋体" w:hint="eastAsia"/>
                <w:color w:val="000000"/>
              </w:rPr>
              <w:t xml:space="preserve">公允价值（元） </w:t>
            </w:r>
          </w:p>
        </w:tc>
        <w:tc>
          <w:tcPr>
            <w:tcW w:w="1932" w:type="pct"/>
            <w:tcBorders>
              <w:top w:val="single" w:sz="4" w:space="0" w:color="auto"/>
              <w:left w:val="single" w:sz="4" w:space="0" w:color="auto"/>
              <w:bottom w:val="single" w:sz="4" w:space="0" w:color="auto"/>
              <w:right w:val="single" w:sz="4" w:space="0" w:color="auto"/>
            </w:tcBorders>
            <w:shd w:val="clear" w:color="auto" w:fill="D9D9D9"/>
            <w:vAlign w:val="center"/>
          </w:tcPr>
          <w:p w14:paraId="0738EFF9" w14:textId="77777777" w:rsidR="003B4FE0" w:rsidRDefault="003B4FE0" w:rsidP="00EA75CB">
            <w:pPr>
              <w:jc w:val="center"/>
              <w:rPr>
                <w:rFonts w:ascii="宋体" w:hAnsi="宋体"/>
                <w:color w:val="000000"/>
              </w:rPr>
            </w:pPr>
            <w:r>
              <w:rPr>
                <w:rFonts w:ascii="宋体" w:hAnsi="宋体" w:hint="eastAsia"/>
                <w:color w:val="000000"/>
              </w:rPr>
              <w:t xml:space="preserve">占基金资产净值比例（%） </w:t>
            </w:r>
          </w:p>
        </w:tc>
      </w:tr>
      <w:tr w:rsidR="003B4FE0" w14:paraId="4FC7D3EC"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6C64D278" w14:textId="77777777" w:rsidR="003B4FE0" w:rsidRDefault="003B4FE0" w:rsidP="00EA75CB">
            <w:pPr>
              <w:jc w:val="center"/>
              <w:rPr>
                <w:rFonts w:ascii="宋体" w:hAnsi="宋体"/>
              </w:rPr>
            </w:pPr>
            <w:r>
              <w:rPr>
                <w:rFonts w:ascii="宋体" w:hAnsi="宋体" w:hint="eastAsia"/>
              </w:rPr>
              <w:t xml:space="preserve">1 </w:t>
            </w:r>
          </w:p>
        </w:tc>
        <w:tc>
          <w:tcPr>
            <w:tcW w:w="1270" w:type="pct"/>
            <w:tcBorders>
              <w:top w:val="single" w:sz="4" w:space="0" w:color="auto"/>
              <w:left w:val="single" w:sz="4" w:space="0" w:color="auto"/>
              <w:bottom w:val="single" w:sz="4" w:space="0" w:color="auto"/>
              <w:right w:val="single" w:sz="4" w:space="0" w:color="auto"/>
            </w:tcBorders>
            <w:vAlign w:val="center"/>
          </w:tcPr>
          <w:p w14:paraId="72EB42B9" w14:textId="77777777" w:rsidR="003B4FE0" w:rsidRDefault="003B4FE0" w:rsidP="00EA75CB">
            <w:pPr>
              <w:ind w:leftChars="50" w:left="105"/>
              <w:jc w:val="left"/>
              <w:rPr>
                <w:rFonts w:ascii="宋体" w:hAnsi="宋体"/>
              </w:rPr>
            </w:pPr>
            <w:r>
              <w:rPr>
                <w:rFonts w:ascii="宋体" w:hAnsi="宋体" w:hint="eastAsia"/>
              </w:rPr>
              <w:t xml:space="preserve">国家债券 </w:t>
            </w:r>
          </w:p>
        </w:tc>
        <w:tc>
          <w:tcPr>
            <w:tcW w:w="1271" w:type="pct"/>
            <w:tcBorders>
              <w:top w:val="single" w:sz="4" w:space="0" w:color="auto"/>
              <w:left w:val="single" w:sz="4" w:space="0" w:color="auto"/>
              <w:bottom w:val="single" w:sz="4" w:space="0" w:color="auto"/>
              <w:right w:val="single" w:sz="4" w:space="0" w:color="auto"/>
            </w:tcBorders>
            <w:vAlign w:val="center"/>
          </w:tcPr>
          <w:p w14:paraId="466B9A3C" w14:textId="77777777" w:rsidR="003B4FE0" w:rsidRDefault="003B4FE0" w:rsidP="00EA75CB">
            <w:pPr>
              <w:jc w:val="right"/>
            </w:pPr>
            <w:r>
              <w:rPr>
                <w:rFonts w:ascii="宋体" w:hAnsi="宋体" w:hint="eastAsia"/>
                <w:lang w:eastAsia="zh-Hans"/>
              </w:rPr>
              <w:t>86,561,378.66</w:t>
            </w:r>
          </w:p>
        </w:tc>
        <w:tc>
          <w:tcPr>
            <w:tcW w:w="1932" w:type="pct"/>
            <w:tcBorders>
              <w:top w:val="single" w:sz="4" w:space="0" w:color="auto"/>
              <w:left w:val="single" w:sz="4" w:space="0" w:color="auto"/>
              <w:bottom w:val="single" w:sz="4" w:space="0" w:color="auto"/>
              <w:right w:val="single" w:sz="4" w:space="0" w:color="auto"/>
            </w:tcBorders>
            <w:vAlign w:val="center"/>
          </w:tcPr>
          <w:p w14:paraId="2908C059" w14:textId="77777777" w:rsidR="003B4FE0" w:rsidRDefault="003B4FE0" w:rsidP="00EA75CB">
            <w:pPr>
              <w:jc w:val="right"/>
            </w:pPr>
            <w:r>
              <w:rPr>
                <w:rFonts w:ascii="宋体" w:hAnsi="宋体" w:hint="eastAsia"/>
                <w:lang w:eastAsia="zh-Hans"/>
              </w:rPr>
              <w:t>12.52</w:t>
            </w:r>
          </w:p>
        </w:tc>
      </w:tr>
      <w:tr w:rsidR="003B4FE0" w14:paraId="59251602"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4019EA6A" w14:textId="77777777" w:rsidR="003B4FE0" w:rsidRDefault="003B4FE0" w:rsidP="00EA75CB">
            <w:pPr>
              <w:jc w:val="center"/>
              <w:rPr>
                <w:rFonts w:ascii="宋体" w:hAnsi="宋体"/>
              </w:rPr>
            </w:pPr>
            <w:r>
              <w:rPr>
                <w:rFonts w:ascii="宋体" w:hAnsi="宋体" w:hint="eastAsia"/>
              </w:rPr>
              <w:t xml:space="preserve">2 </w:t>
            </w:r>
          </w:p>
        </w:tc>
        <w:tc>
          <w:tcPr>
            <w:tcW w:w="1270" w:type="pct"/>
            <w:tcBorders>
              <w:top w:val="single" w:sz="4" w:space="0" w:color="auto"/>
              <w:left w:val="single" w:sz="4" w:space="0" w:color="auto"/>
              <w:bottom w:val="single" w:sz="4" w:space="0" w:color="auto"/>
              <w:right w:val="single" w:sz="4" w:space="0" w:color="auto"/>
            </w:tcBorders>
            <w:vAlign w:val="center"/>
          </w:tcPr>
          <w:p w14:paraId="3D42AAA4" w14:textId="77777777" w:rsidR="003B4FE0" w:rsidRDefault="003B4FE0" w:rsidP="00EA75CB">
            <w:pPr>
              <w:ind w:leftChars="50" w:left="105"/>
              <w:jc w:val="left"/>
              <w:rPr>
                <w:rFonts w:ascii="宋体" w:hAnsi="宋体"/>
              </w:rPr>
            </w:pPr>
            <w:r>
              <w:rPr>
                <w:rFonts w:ascii="宋体" w:hAnsi="宋体" w:hint="eastAsia"/>
              </w:rPr>
              <w:t xml:space="preserve">央行票据 </w:t>
            </w:r>
          </w:p>
        </w:tc>
        <w:tc>
          <w:tcPr>
            <w:tcW w:w="1271" w:type="pct"/>
            <w:tcBorders>
              <w:top w:val="single" w:sz="4" w:space="0" w:color="auto"/>
              <w:left w:val="single" w:sz="4" w:space="0" w:color="auto"/>
              <w:bottom w:val="single" w:sz="4" w:space="0" w:color="auto"/>
              <w:right w:val="single" w:sz="4" w:space="0" w:color="auto"/>
            </w:tcBorders>
            <w:vAlign w:val="center"/>
          </w:tcPr>
          <w:p w14:paraId="41993004" w14:textId="77777777" w:rsidR="003B4FE0" w:rsidRDefault="003B4FE0" w:rsidP="00EA75CB">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14:paraId="2CD3EC83" w14:textId="77777777" w:rsidR="003B4FE0" w:rsidRDefault="003B4FE0" w:rsidP="00EA75CB">
            <w:pPr>
              <w:jc w:val="right"/>
            </w:pPr>
            <w:r>
              <w:rPr>
                <w:rFonts w:ascii="宋体" w:hAnsi="宋体" w:hint="eastAsia"/>
                <w:lang w:eastAsia="zh-Hans"/>
              </w:rPr>
              <w:t>-</w:t>
            </w:r>
          </w:p>
        </w:tc>
      </w:tr>
      <w:tr w:rsidR="003B4FE0" w14:paraId="2066E776"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7ECA424F" w14:textId="77777777" w:rsidR="003B4FE0" w:rsidRDefault="003B4FE0" w:rsidP="00EA75CB">
            <w:pPr>
              <w:jc w:val="center"/>
              <w:rPr>
                <w:rFonts w:ascii="宋体" w:hAnsi="宋体"/>
              </w:rPr>
            </w:pPr>
            <w:r>
              <w:rPr>
                <w:rFonts w:ascii="宋体" w:hAnsi="宋体" w:hint="eastAsia"/>
              </w:rPr>
              <w:t xml:space="preserve">3 </w:t>
            </w:r>
          </w:p>
        </w:tc>
        <w:tc>
          <w:tcPr>
            <w:tcW w:w="1270" w:type="pct"/>
            <w:tcBorders>
              <w:top w:val="single" w:sz="4" w:space="0" w:color="auto"/>
              <w:left w:val="single" w:sz="4" w:space="0" w:color="auto"/>
              <w:bottom w:val="single" w:sz="4" w:space="0" w:color="auto"/>
              <w:right w:val="single" w:sz="4" w:space="0" w:color="auto"/>
            </w:tcBorders>
            <w:vAlign w:val="center"/>
          </w:tcPr>
          <w:p w14:paraId="305ECD02" w14:textId="77777777" w:rsidR="003B4FE0" w:rsidRDefault="003B4FE0" w:rsidP="00EA75CB">
            <w:pPr>
              <w:ind w:leftChars="50" w:left="105"/>
              <w:jc w:val="left"/>
              <w:rPr>
                <w:rFonts w:ascii="宋体" w:hAnsi="宋体"/>
              </w:rPr>
            </w:pPr>
            <w:r>
              <w:rPr>
                <w:rFonts w:ascii="宋体" w:hAnsi="宋体" w:hint="eastAsia"/>
              </w:rPr>
              <w:t xml:space="preserve">金融债券 </w:t>
            </w:r>
          </w:p>
        </w:tc>
        <w:tc>
          <w:tcPr>
            <w:tcW w:w="1271" w:type="pct"/>
            <w:tcBorders>
              <w:top w:val="single" w:sz="4" w:space="0" w:color="auto"/>
              <w:left w:val="single" w:sz="4" w:space="0" w:color="auto"/>
              <w:bottom w:val="single" w:sz="4" w:space="0" w:color="auto"/>
              <w:right w:val="single" w:sz="4" w:space="0" w:color="auto"/>
            </w:tcBorders>
            <w:vAlign w:val="center"/>
          </w:tcPr>
          <w:p w14:paraId="3FEB8664" w14:textId="77777777" w:rsidR="003B4FE0" w:rsidRDefault="003B4FE0" w:rsidP="00EA75CB">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14:paraId="498F7ACD" w14:textId="77777777" w:rsidR="003B4FE0" w:rsidRDefault="003B4FE0" w:rsidP="00EA75CB">
            <w:pPr>
              <w:jc w:val="right"/>
            </w:pPr>
            <w:r>
              <w:rPr>
                <w:rFonts w:ascii="宋体" w:hAnsi="宋体" w:hint="eastAsia"/>
                <w:lang w:eastAsia="zh-Hans"/>
              </w:rPr>
              <w:t>-</w:t>
            </w:r>
          </w:p>
        </w:tc>
      </w:tr>
      <w:tr w:rsidR="003B4FE0" w14:paraId="4B6F0D23"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26CA5D4E" w14:textId="77777777" w:rsidR="003B4FE0" w:rsidRDefault="003B4FE0" w:rsidP="00EA75CB">
            <w:pPr>
              <w:jc w:val="center"/>
              <w:rPr>
                <w:rFonts w:ascii="宋体" w:hAnsi="宋体"/>
              </w:rPr>
            </w:pPr>
            <w:r>
              <w:rPr>
                <w:rFonts w:ascii="宋体" w:hAnsi="宋体" w:hint="eastAsia"/>
              </w:rPr>
              <w:t xml:space="preserve">　 </w:t>
            </w:r>
          </w:p>
        </w:tc>
        <w:tc>
          <w:tcPr>
            <w:tcW w:w="1270" w:type="pct"/>
            <w:tcBorders>
              <w:top w:val="single" w:sz="4" w:space="0" w:color="auto"/>
              <w:left w:val="single" w:sz="4" w:space="0" w:color="auto"/>
              <w:bottom w:val="single" w:sz="4" w:space="0" w:color="auto"/>
              <w:right w:val="single" w:sz="4" w:space="0" w:color="auto"/>
            </w:tcBorders>
            <w:vAlign w:val="center"/>
          </w:tcPr>
          <w:p w14:paraId="3C6A3F18" w14:textId="77777777" w:rsidR="003B4FE0" w:rsidRDefault="003B4FE0" w:rsidP="00EA75CB">
            <w:pPr>
              <w:ind w:leftChars="50" w:left="105"/>
              <w:jc w:val="left"/>
              <w:rPr>
                <w:rFonts w:ascii="宋体" w:hAnsi="宋体"/>
              </w:rPr>
            </w:pPr>
            <w:r>
              <w:rPr>
                <w:rFonts w:ascii="宋体" w:hAnsi="宋体" w:hint="eastAsia"/>
              </w:rPr>
              <w:t xml:space="preserve">其中：政策性金融债 </w:t>
            </w:r>
          </w:p>
        </w:tc>
        <w:tc>
          <w:tcPr>
            <w:tcW w:w="1271" w:type="pct"/>
            <w:tcBorders>
              <w:top w:val="single" w:sz="4" w:space="0" w:color="auto"/>
              <w:left w:val="single" w:sz="4" w:space="0" w:color="auto"/>
              <w:bottom w:val="single" w:sz="4" w:space="0" w:color="auto"/>
              <w:right w:val="single" w:sz="4" w:space="0" w:color="auto"/>
            </w:tcBorders>
            <w:vAlign w:val="center"/>
          </w:tcPr>
          <w:p w14:paraId="530359AE" w14:textId="77777777" w:rsidR="003B4FE0" w:rsidRDefault="003B4FE0" w:rsidP="00EA75CB">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14:paraId="42943982" w14:textId="77777777" w:rsidR="003B4FE0" w:rsidRDefault="003B4FE0" w:rsidP="00EA75CB">
            <w:pPr>
              <w:jc w:val="right"/>
            </w:pPr>
            <w:r>
              <w:rPr>
                <w:rFonts w:ascii="宋体" w:hAnsi="宋体" w:hint="eastAsia"/>
                <w:lang w:eastAsia="zh-Hans"/>
              </w:rPr>
              <w:t>-</w:t>
            </w:r>
          </w:p>
        </w:tc>
      </w:tr>
      <w:tr w:rsidR="003B4FE0" w14:paraId="5C084DB0"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7E57DA8B" w14:textId="77777777" w:rsidR="003B4FE0" w:rsidRDefault="003B4FE0" w:rsidP="00EA75CB">
            <w:pPr>
              <w:jc w:val="center"/>
              <w:rPr>
                <w:rFonts w:ascii="宋体" w:hAnsi="宋体"/>
              </w:rPr>
            </w:pPr>
            <w:r>
              <w:rPr>
                <w:rFonts w:ascii="宋体" w:hAnsi="宋体" w:hint="eastAsia"/>
              </w:rPr>
              <w:t xml:space="preserve">4 </w:t>
            </w:r>
          </w:p>
        </w:tc>
        <w:tc>
          <w:tcPr>
            <w:tcW w:w="1270" w:type="pct"/>
            <w:tcBorders>
              <w:top w:val="single" w:sz="4" w:space="0" w:color="auto"/>
              <w:left w:val="single" w:sz="4" w:space="0" w:color="auto"/>
              <w:bottom w:val="single" w:sz="4" w:space="0" w:color="auto"/>
              <w:right w:val="single" w:sz="4" w:space="0" w:color="auto"/>
            </w:tcBorders>
            <w:vAlign w:val="center"/>
          </w:tcPr>
          <w:p w14:paraId="0B67F6BE" w14:textId="77777777" w:rsidR="003B4FE0" w:rsidRDefault="003B4FE0" w:rsidP="00EA75CB">
            <w:pPr>
              <w:ind w:leftChars="50" w:left="105"/>
              <w:jc w:val="left"/>
              <w:rPr>
                <w:rFonts w:ascii="宋体" w:hAnsi="宋体"/>
              </w:rPr>
            </w:pPr>
            <w:r>
              <w:rPr>
                <w:rFonts w:ascii="宋体" w:hAnsi="宋体" w:hint="eastAsia"/>
              </w:rPr>
              <w:t xml:space="preserve">企业债券 </w:t>
            </w:r>
          </w:p>
        </w:tc>
        <w:tc>
          <w:tcPr>
            <w:tcW w:w="1271" w:type="pct"/>
            <w:tcBorders>
              <w:top w:val="single" w:sz="4" w:space="0" w:color="auto"/>
              <w:left w:val="single" w:sz="4" w:space="0" w:color="auto"/>
              <w:bottom w:val="single" w:sz="4" w:space="0" w:color="auto"/>
              <w:right w:val="single" w:sz="4" w:space="0" w:color="auto"/>
            </w:tcBorders>
            <w:vAlign w:val="center"/>
          </w:tcPr>
          <w:p w14:paraId="2E718E66" w14:textId="77777777" w:rsidR="003B4FE0" w:rsidRDefault="003B4FE0" w:rsidP="00EA75CB">
            <w:pPr>
              <w:jc w:val="right"/>
            </w:pPr>
            <w:r>
              <w:rPr>
                <w:rFonts w:ascii="宋体" w:hAnsi="宋体" w:hint="eastAsia"/>
                <w:lang w:eastAsia="zh-Hans"/>
              </w:rPr>
              <w:t>91,261,289.94</w:t>
            </w:r>
          </w:p>
        </w:tc>
        <w:tc>
          <w:tcPr>
            <w:tcW w:w="1932" w:type="pct"/>
            <w:tcBorders>
              <w:top w:val="single" w:sz="4" w:space="0" w:color="auto"/>
              <w:left w:val="single" w:sz="4" w:space="0" w:color="auto"/>
              <w:bottom w:val="single" w:sz="4" w:space="0" w:color="auto"/>
              <w:right w:val="single" w:sz="4" w:space="0" w:color="auto"/>
            </w:tcBorders>
            <w:vAlign w:val="center"/>
          </w:tcPr>
          <w:p w14:paraId="55709B72" w14:textId="77777777" w:rsidR="003B4FE0" w:rsidRDefault="003B4FE0" w:rsidP="00EA75CB">
            <w:pPr>
              <w:jc w:val="right"/>
            </w:pPr>
            <w:r>
              <w:rPr>
                <w:rFonts w:ascii="宋体" w:hAnsi="宋体" w:hint="eastAsia"/>
                <w:lang w:eastAsia="zh-Hans"/>
              </w:rPr>
              <w:t>13.20</w:t>
            </w:r>
          </w:p>
        </w:tc>
      </w:tr>
      <w:tr w:rsidR="003B4FE0" w14:paraId="322D29E9"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45993AA5" w14:textId="77777777" w:rsidR="003B4FE0" w:rsidRDefault="003B4FE0" w:rsidP="00EA75CB">
            <w:pPr>
              <w:jc w:val="center"/>
              <w:rPr>
                <w:rFonts w:ascii="宋体" w:hAnsi="宋体"/>
              </w:rPr>
            </w:pPr>
            <w:r>
              <w:rPr>
                <w:rFonts w:ascii="宋体" w:hAnsi="宋体" w:hint="eastAsia"/>
              </w:rPr>
              <w:t xml:space="preserve">5 </w:t>
            </w:r>
          </w:p>
        </w:tc>
        <w:tc>
          <w:tcPr>
            <w:tcW w:w="1270" w:type="pct"/>
            <w:tcBorders>
              <w:top w:val="single" w:sz="4" w:space="0" w:color="auto"/>
              <w:left w:val="single" w:sz="4" w:space="0" w:color="auto"/>
              <w:bottom w:val="single" w:sz="4" w:space="0" w:color="auto"/>
              <w:right w:val="single" w:sz="4" w:space="0" w:color="auto"/>
            </w:tcBorders>
            <w:vAlign w:val="center"/>
          </w:tcPr>
          <w:p w14:paraId="226BA063" w14:textId="77777777" w:rsidR="003B4FE0" w:rsidRDefault="003B4FE0" w:rsidP="00EA75CB">
            <w:pPr>
              <w:ind w:leftChars="50" w:left="105"/>
              <w:jc w:val="left"/>
              <w:rPr>
                <w:rFonts w:ascii="宋体" w:hAnsi="宋体"/>
              </w:rPr>
            </w:pPr>
            <w:r>
              <w:rPr>
                <w:rFonts w:ascii="宋体" w:hAnsi="宋体" w:hint="eastAsia"/>
              </w:rPr>
              <w:t>企业短期融资</w:t>
            </w:r>
            <w:proofErr w:type="gramStart"/>
            <w:r>
              <w:rPr>
                <w:rFonts w:ascii="宋体" w:hAnsi="宋体" w:hint="eastAsia"/>
              </w:rPr>
              <w:t>券</w:t>
            </w:r>
            <w:proofErr w:type="gramEnd"/>
            <w:r>
              <w:rPr>
                <w:rFonts w:ascii="宋体" w:hAnsi="宋体" w:hint="eastAsia"/>
              </w:rPr>
              <w:t xml:space="preserve"> </w:t>
            </w:r>
          </w:p>
        </w:tc>
        <w:tc>
          <w:tcPr>
            <w:tcW w:w="1271" w:type="pct"/>
            <w:tcBorders>
              <w:top w:val="single" w:sz="4" w:space="0" w:color="auto"/>
              <w:left w:val="single" w:sz="4" w:space="0" w:color="auto"/>
              <w:bottom w:val="single" w:sz="4" w:space="0" w:color="auto"/>
              <w:right w:val="single" w:sz="4" w:space="0" w:color="auto"/>
            </w:tcBorders>
            <w:vAlign w:val="center"/>
          </w:tcPr>
          <w:p w14:paraId="15F4C4A4" w14:textId="77777777" w:rsidR="003B4FE0" w:rsidRDefault="003B4FE0" w:rsidP="00EA75CB">
            <w:pPr>
              <w:jc w:val="right"/>
            </w:pPr>
            <w:r>
              <w:rPr>
                <w:rFonts w:ascii="宋体" w:hAnsi="宋体" w:hint="eastAsia"/>
                <w:lang w:eastAsia="zh-Hans"/>
              </w:rPr>
              <w:t>403,033,712.89</w:t>
            </w:r>
          </w:p>
        </w:tc>
        <w:tc>
          <w:tcPr>
            <w:tcW w:w="1932" w:type="pct"/>
            <w:tcBorders>
              <w:top w:val="single" w:sz="4" w:space="0" w:color="auto"/>
              <w:left w:val="single" w:sz="4" w:space="0" w:color="auto"/>
              <w:bottom w:val="single" w:sz="4" w:space="0" w:color="auto"/>
              <w:right w:val="single" w:sz="4" w:space="0" w:color="auto"/>
            </w:tcBorders>
            <w:vAlign w:val="center"/>
          </w:tcPr>
          <w:p w14:paraId="6A2896C6" w14:textId="77777777" w:rsidR="003B4FE0" w:rsidRDefault="003B4FE0" w:rsidP="00EA75CB">
            <w:pPr>
              <w:jc w:val="right"/>
            </w:pPr>
            <w:r>
              <w:rPr>
                <w:rFonts w:ascii="宋体" w:hAnsi="宋体" w:hint="eastAsia"/>
                <w:lang w:eastAsia="zh-Hans"/>
              </w:rPr>
              <w:t>58.31</w:t>
            </w:r>
          </w:p>
        </w:tc>
      </w:tr>
      <w:tr w:rsidR="003B4FE0" w14:paraId="680625C2"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09AD8C6A" w14:textId="77777777" w:rsidR="003B4FE0" w:rsidRDefault="003B4FE0" w:rsidP="00EA75CB">
            <w:pPr>
              <w:jc w:val="center"/>
              <w:rPr>
                <w:rFonts w:ascii="宋体" w:hAnsi="宋体"/>
              </w:rPr>
            </w:pPr>
            <w:r>
              <w:rPr>
                <w:rFonts w:ascii="宋体" w:hAnsi="宋体" w:hint="eastAsia"/>
              </w:rPr>
              <w:t xml:space="preserve">6 </w:t>
            </w:r>
          </w:p>
        </w:tc>
        <w:tc>
          <w:tcPr>
            <w:tcW w:w="1270" w:type="pct"/>
            <w:tcBorders>
              <w:top w:val="single" w:sz="4" w:space="0" w:color="auto"/>
              <w:left w:val="single" w:sz="4" w:space="0" w:color="auto"/>
              <w:bottom w:val="single" w:sz="4" w:space="0" w:color="auto"/>
              <w:right w:val="single" w:sz="4" w:space="0" w:color="auto"/>
            </w:tcBorders>
            <w:vAlign w:val="center"/>
          </w:tcPr>
          <w:p w14:paraId="61F07DE5" w14:textId="77777777" w:rsidR="003B4FE0" w:rsidRDefault="003B4FE0" w:rsidP="00EA75CB">
            <w:pPr>
              <w:ind w:leftChars="50" w:left="105"/>
              <w:jc w:val="left"/>
              <w:rPr>
                <w:rFonts w:ascii="宋体" w:hAnsi="宋体"/>
              </w:rPr>
            </w:pPr>
            <w:r>
              <w:rPr>
                <w:rFonts w:ascii="宋体" w:hAnsi="宋体" w:hint="eastAsia"/>
              </w:rPr>
              <w:t xml:space="preserve">中期票据 </w:t>
            </w:r>
          </w:p>
        </w:tc>
        <w:tc>
          <w:tcPr>
            <w:tcW w:w="1271" w:type="pct"/>
            <w:tcBorders>
              <w:top w:val="single" w:sz="4" w:space="0" w:color="auto"/>
              <w:left w:val="single" w:sz="4" w:space="0" w:color="auto"/>
              <w:bottom w:val="single" w:sz="4" w:space="0" w:color="auto"/>
              <w:right w:val="single" w:sz="4" w:space="0" w:color="auto"/>
            </w:tcBorders>
            <w:vAlign w:val="center"/>
          </w:tcPr>
          <w:p w14:paraId="621AADA7" w14:textId="77777777" w:rsidR="003B4FE0" w:rsidRDefault="003B4FE0" w:rsidP="00EA75CB">
            <w:pPr>
              <w:jc w:val="right"/>
            </w:pPr>
            <w:r>
              <w:rPr>
                <w:rFonts w:ascii="宋体" w:hAnsi="宋体" w:hint="eastAsia"/>
                <w:lang w:eastAsia="zh-Hans"/>
              </w:rPr>
              <w:t>190,250,154.14</w:t>
            </w:r>
          </w:p>
        </w:tc>
        <w:tc>
          <w:tcPr>
            <w:tcW w:w="1932" w:type="pct"/>
            <w:tcBorders>
              <w:top w:val="single" w:sz="4" w:space="0" w:color="auto"/>
              <w:left w:val="single" w:sz="4" w:space="0" w:color="auto"/>
              <w:bottom w:val="single" w:sz="4" w:space="0" w:color="auto"/>
              <w:right w:val="single" w:sz="4" w:space="0" w:color="auto"/>
            </w:tcBorders>
            <w:vAlign w:val="center"/>
          </w:tcPr>
          <w:p w14:paraId="3484DC5A" w14:textId="77777777" w:rsidR="003B4FE0" w:rsidRDefault="003B4FE0" w:rsidP="00EA75CB">
            <w:pPr>
              <w:jc w:val="right"/>
            </w:pPr>
            <w:r>
              <w:rPr>
                <w:rFonts w:ascii="宋体" w:hAnsi="宋体" w:hint="eastAsia"/>
                <w:lang w:eastAsia="zh-Hans"/>
              </w:rPr>
              <w:t>27.52</w:t>
            </w:r>
          </w:p>
        </w:tc>
      </w:tr>
      <w:tr w:rsidR="003B4FE0" w14:paraId="2CBDCDC4"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4EE3851A" w14:textId="77777777" w:rsidR="003B4FE0" w:rsidRDefault="003B4FE0" w:rsidP="00EA75CB">
            <w:pPr>
              <w:jc w:val="center"/>
              <w:rPr>
                <w:rFonts w:ascii="宋体" w:hAnsi="宋体"/>
                <w:color w:val="000000"/>
              </w:rPr>
            </w:pPr>
            <w:r>
              <w:rPr>
                <w:rFonts w:ascii="宋体" w:hAnsi="宋体" w:hint="eastAsia"/>
                <w:color w:val="000000"/>
              </w:rPr>
              <w:lastRenderedPageBreak/>
              <w:t xml:space="preserve">7 </w:t>
            </w:r>
          </w:p>
        </w:tc>
        <w:tc>
          <w:tcPr>
            <w:tcW w:w="1270" w:type="pct"/>
            <w:tcBorders>
              <w:top w:val="single" w:sz="4" w:space="0" w:color="auto"/>
              <w:left w:val="single" w:sz="4" w:space="0" w:color="auto"/>
              <w:bottom w:val="single" w:sz="4" w:space="0" w:color="auto"/>
              <w:right w:val="single" w:sz="4" w:space="0" w:color="auto"/>
            </w:tcBorders>
            <w:vAlign w:val="center"/>
          </w:tcPr>
          <w:p w14:paraId="0976196E" w14:textId="77777777" w:rsidR="003B4FE0" w:rsidRDefault="003B4FE0" w:rsidP="00EA75CB">
            <w:pPr>
              <w:ind w:leftChars="50" w:left="105"/>
              <w:jc w:val="left"/>
              <w:rPr>
                <w:rFonts w:ascii="宋体" w:hAnsi="宋体"/>
                <w:color w:val="000000"/>
              </w:rPr>
            </w:pPr>
            <w:r>
              <w:rPr>
                <w:rFonts w:ascii="宋体" w:hAnsi="宋体" w:hint="eastAsia"/>
                <w:color w:val="000000"/>
              </w:rPr>
              <w:t xml:space="preserve">可转债（可交换债） </w:t>
            </w:r>
          </w:p>
        </w:tc>
        <w:tc>
          <w:tcPr>
            <w:tcW w:w="1271" w:type="pct"/>
            <w:tcBorders>
              <w:top w:val="single" w:sz="4" w:space="0" w:color="auto"/>
              <w:left w:val="single" w:sz="4" w:space="0" w:color="auto"/>
              <w:bottom w:val="single" w:sz="4" w:space="0" w:color="auto"/>
              <w:right w:val="single" w:sz="4" w:space="0" w:color="auto"/>
            </w:tcBorders>
            <w:vAlign w:val="center"/>
          </w:tcPr>
          <w:p w14:paraId="12BA426B" w14:textId="77777777" w:rsidR="003B4FE0" w:rsidRDefault="003B4FE0" w:rsidP="00EA75CB">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14:paraId="0E92B1DB" w14:textId="77777777" w:rsidR="003B4FE0" w:rsidRDefault="003B4FE0" w:rsidP="00EA75CB">
            <w:pPr>
              <w:jc w:val="right"/>
            </w:pPr>
            <w:r>
              <w:rPr>
                <w:rFonts w:ascii="宋体" w:hAnsi="宋体" w:hint="eastAsia"/>
                <w:lang w:eastAsia="zh-Hans"/>
              </w:rPr>
              <w:t>-</w:t>
            </w:r>
          </w:p>
        </w:tc>
      </w:tr>
      <w:tr w:rsidR="003B4FE0" w14:paraId="1BB1FD8B"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088B9C51" w14:textId="77777777" w:rsidR="003B4FE0" w:rsidRDefault="003B4FE0" w:rsidP="00EA75CB">
            <w:pPr>
              <w:jc w:val="center"/>
              <w:rPr>
                <w:rFonts w:ascii="宋体" w:hAnsi="宋体"/>
                <w:color w:val="000000"/>
              </w:rPr>
            </w:pPr>
            <w:r>
              <w:rPr>
                <w:rFonts w:ascii="宋体" w:hAnsi="宋体" w:hint="eastAsia"/>
                <w:color w:val="000000"/>
              </w:rPr>
              <w:t xml:space="preserve">8 </w:t>
            </w:r>
          </w:p>
        </w:tc>
        <w:tc>
          <w:tcPr>
            <w:tcW w:w="1270" w:type="pct"/>
            <w:tcBorders>
              <w:top w:val="single" w:sz="4" w:space="0" w:color="auto"/>
              <w:left w:val="single" w:sz="4" w:space="0" w:color="auto"/>
              <w:bottom w:val="single" w:sz="4" w:space="0" w:color="auto"/>
              <w:right w:val="single" w:sz="4" w:space="0" w:color="auto"/>
            </w:tcBorders>
            <w:vAlign w:val="center"/>
          </w:tcPr>
          <w:p w14:paraId="6EF8872B" w14:textId="77777777" w:rsidR="003B4FE0" w:rsidRDefault="003B4FE0" w:rsidP="00EA75CB">
            <w:pPr>
              <w:ind w:leftChars="50" w:left="105"/>
              <w:jc w:val="left"/>
              <w:rPr>
                <w:rFonts w:ascii="宋体" w:hAnsi="宋体"/>
                <w:color w:val="000000"/>
              </w:rPr>
            </w:pPr>
            <w:r>
              <w:rPr>
                <w:rFonts w:ascii="宋体" w:hAnsi="宋体" w:hint="eastAsia"/>
                <w:color w:val="000000"/>
              </w:rPr>
              <w:t xml:space="preserve">同业存单 </w:t>
            </w:r>
          </w:p>
        </w:tc>
        <w:tc>
          <w:tcPr>
            <w:tcW w:w="1271" w:type="pct"/>
            <w:tcBorders>
              <w:top w:val="single" w:sz="4" w:space="0" w:color="auto"/>
              <w:left w:val="single" w:sz="4" w:space="0" w:color="auto"/>
              <w:bottom w:val="single" w:sz="4" w:space="0" w:color="auto"/>
              <w:right w:val="single" w:sz="4" w:space="0" w:color="auto"/>
            </w:tcBorders>
            <w:vAlign w:val="center"/>
          </w:tcPr>
          <w:p w14:paraId="4F668238" w14:textId="77777777" w:rsidR="003B4FE0" w:rsidRDefault="003B4FE0" w:rsidP="00EA75CB">
            <w:pPr>
              <w:jc w:val="right"/>
            </w:pPr>
            <w:r>
              <w:rPr>
                <w:rFonts w:ascii="宋体" w:hAnsi="宋体" w:hint="eastAsia"/>
                <w:lang w:eastAsia="zh-Hans"/>
              </w:rPr>
              <w:t>9,985,564.52</w:t>
            </w:r>
          </w:p>
        </w:tc>
        <w:tc>
          <w:tcPr>
            <w:tcW w:w="1932" w:type="pct"/>
            <w:tcBorders>
              <w:top w:val="single" w:sz="4" w:space="0" w:color="auto"/>
              <w:left w:val="single" w:sz="4" w:space="0" w:color="auto"/>
              <w:bottom w:val="single" w:sz="4" w:space="0" w:color="auto"/>
              <w:right w:val="single" w:sz="4" w:space="0" w:color="auto"/>
            </w:tcBorders>
            <w:vAlign w:val="center"/>
          </w:tcPr>
          <w:p w14:paraId="2A9E7317" w14:textId="77777777" w:rsidR="003B4FE0" w:rsidRDefault="003B4FE0" w:rsidP="00EA75CB">
            <w:pPr>
              <w:jc w:val="right"/>
            </w:pPr>
            <w:r>
              <w:rPr>
                <w:rFonts w:ascii="宋体" w:hAnsi="宋体" w:hint="eastAsia"/>
                <w:lang w:eastAsia="zh-Hans"/>
              </w:rPr>
              <w:t>1.44</w:t>
            </w:r>
          </w:p>
        </w:tc>
      </w:tr>
      <w:tr w:rsidR="003B4FE0" w14:paraId="49DAEA7B"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16587C37" w14:textId="77777777" w:rsidR="003B4FE0" w:rsidRDefault="003B4FE0" w:rsidP="00EA75CB">
            <w:pPr>
              <w:jc w:val="center"/>
            </w:pPr>
            <w:r>
              <w:rPr>
                <w:rFonts w:ascii="宋体" w:hAnsi="宋体" w:hint="eastAsia"/>
                <w:color w:val="000000"/>
              </w:rPr>
              <w:t>9</w:t>
            </w:r>
          </w:p>
        </w:tc>
        <w:tc>
          <w:tcPr>
            <w:tcW w:w="1270" w:type="pct"/>
            <w:tcBorders>
              <w:top w:val="single" w:sz="4" w:space="0" w:color="auto"/>
              <w:left w:val="single" w:sz="4" w:space="0" w:color="auto"/>
              <w:bottom w:val="single" w:sz="4" w:space="0" w:color="auto"/>
              <w:right w:val="single" w:sz="4" w:space="0" w:color="auto"/>
            </w:tcBorders>
            <w:vAlign w:val="center"/>
          </w:tcPr>
          <w:p w14:paraId="5BA1FEBB" w14:textId="77777777" w:rsidR="003B4FE0" w:rsidRDefault="003B4FE0" w:rsidP="00EA75CB">
            <w:pPr>
              <w:ind w:leftChars="50" w:left="105"/>
              <w:jc w:val="left"/>
              <w:rPr>
                <w:rFonts w:ascii="宋体" w:hAnsi="宋体"/>
                <w:color w:val="000000"/>
              </w:rPr>
            </w:pPr>
            <w:r>
              <w:rPr>
                <w:rFonts w:ascii="宋体" w:hAnsi="宋体" w:hint="eastAsia"/>
                <w:color w:val="000000"/>
              </w:rPr>
              <w:t xml:space="preserve">其他 </w:t>
            </w:r>
          </w:p>
        </w:tc>
        <w:tc>
          <w:tcPr>
            <w:tcW w:w="1271" w:type="pct"/>
            <w:tcBorders>
              <w:top w:val="single" w:sz="4" w:space="0" w:color="auto"/>
              <w:left w:val="single" w:sz="4" w:space="0" w:color="auto"/>
              <w:bottom w:val="single" w:sz="4" w:space="0" w:color="auto"/>
              <w:right w:val="single" w:sz="4" w:space="0" w:color="auto"/>
            </w:tcBorders>
            <w:vAlign w:val="center"/>
          </w:tcPr>
          <w:p w14:paraId="70B620F9" w14:textId="77777777" w:rsidR="003B4FE0" w:rsidRDefault="003B4FE0" w:rsidP="00EA75CB">
            <w:pPr>
              <w:jc w:val="right"/>
            </w:pPr>
            <w:r>
              <w:rPr>
                <w:rFonts w:ascii="宋体" w:hAnsi="宋体" w:hint="eastAsia"/>
                <w:lang w:eastAsia="zh-Hans"/>
              </w:rPr>
              <w:t>-</w:t>
            </w:r>
          </w:p>
        </w:tc>
        <w:tc>
          <w:tcPr>
            <w:tcW w:w="1932" w:type="pct"/>
            <w:tcBorders>
              <w:top w:val="single" w:sz="4" w:space="0" w:color="auto"/>
              <w:left w:val="single" w:sz="4" w:space="0" w:color="auto"/>
              <w:bottom w:val="single" w:sz="4" w:space="0" w:color="auto"/>
              <w:right w:val="single" w:sz="4" w:space="0" w:color="auto"/>
            </w:tcBorders>
            <w:vAlign w:val="center"/>
          </w:tcPr>
          <w:p w14:paraId="161BF6E2" w14:textId="77777777" w:rsidR="003B4FE0" w:rsidRDefault="003B4FE0" w:rsidP="00EA75CB">
            <w:pPr>
              <w:jc w:val="right"/>
            </w:pPr>
            <w:r>
              <w:rPr>
                <w:rFonts w:ascii="宋体" w:hAnsi="宋体" w:hint="eastAsia"/>
                <w:lang w:eastAsia="zh-Hans"/>
              </w:rPr>
              <w:t>-</w:t>
            </w:r>
          </w:p>
        </w:tc>
      </w:tr>
      <w:tr w:rsidR="003B4FE0" w14:paraId="22B11546" w14:textId="77777777" w:rsidTr="00EA75CB">
        <w:trPr>
          <w:trHeight w:val="315"/>
        </w:trPr>
        <w:tc>
          <w:tcPr>
            <w:tcW w:w="527" w:type="pct"/>
            <w:tcBorders>
              <w:top w:val="single" w:sz="4" w:space="0" w:color="auto"/>
              <w:left w:val="single" w:sz="4" w:space="0" w:color="auto"/>
              <w:bottom w:val="single" w:sz="4" w:space="0" w:color="auto"/>
              <w:right w:val="single" w:sz="4" w:space="0" w:color="auto"/>
            </w:tcBorders>
            <w:vAlign w:val="center"/>
          </w:tcPr>
          <w:p w14:paraId="6E625B3B" w14:textId="77777777" w:rsidR="003B4FE0" w:rsidRDefault="003B4FE0" w:rsidP="00EA75CB">
            <w:pPr>
              <w:jc w:val="center"/>
            </w:pPr>
            <w:r>
              <w:rPr>
                <w:rFonts w:ascii="宋体" w:hAnsi="宋体" w:hint="eastAsia"/>
                <w:color w:val="000000"/>
              </w:rPr>
              <w:t>10</w:t>
            </w:r>
          </w:p>
        </w:tc>
        <w:tc>
          <w:tcPr>
            <w:tcW w:w="1270" w:type="pct"/>
            <w:tcBorders>
              <w:top w:val="single" w:sz="4" w:space="0" w:color="auto"/>
              <w:left w:val="single" w:sz="4" w:space="0" w:color="auto"/>
              <w:bottom w:val="single" w:sz="4" w:space="0" w:color="auto"/>
              <w:right w:val="single" w:sz="4" w:space="0" w:color="auto"/>
            </w:tcBorders>
            <w:vAlign w:val="center"/>
          </w:tcPr>
          <w:p w14:paraId="4E52CB83" w14:textId="77777777" w:rsidR="003B4FE0" w:rsidRDefault="003B4FE0" w:rsidP="00EA75CB">
            <w:pPr>
              <w:ind w:leftChars="50" w:left="105"/>
              <w:jc w:val="left"/>
              <w:rPr>
                <w:rFonts w:ascii="宋体" w:hAnsi="宋体"/>
                <w:color w:val="000000"/>
              </w:rPr>
            </w:pPr>
            <w:r>
              <w:rPr>
                <w:rFonts w:ascii="宋体" w:hAnsi="宋体" w:hint="eastAsia"/>
                <w:color w:val="000000"/>
              </w:rPr>
              <w:t xml:space="preserve">合计 </w:t>
            </w:r>
          </w:p>
        </w:tc>
        <w:tc>
          <w:tcPr>
            <w:tcW w:w="1271" w:type="pct"/>
            <w:tcBorders>
              <w:top w:val="single" w:sz="4" w:space="0" w:color="auto"/>
              <w:left w:val="single" w:sz="4" w:space="0" w:color="auto"/>
              <w:bottom w:val="single" w:sz="4" w:space="0" w:color="auto"/>
              <w:right w:val="single" w:sz="4" w:space="0" w:color="auto"/>
            </w:tcBorders>
            <w:vAlign w:val="center"/>
          </w:tcPr>
          <w:p w14:paraId="59563BC7" w14:textId="77777777" w:rsidR="003B4FE0" w:rsidRDefault="003B4FE0" w:rsidP="00EA75CB">
            <w:pPr>
              <w:jc w:val="right"/>
            </w:pPr>
            <w:r>
              <w:rPr>
                <w:rFonts w:ascii="宋体" w:hAnsi="宋体" w:hint="eastAsia"/>
                <w:lang w:eastAsia="zh-Hans"/>
              </w:rPr>
              <w:t>781,092,100.15</w:t>
            </w:r>
          </w:p>
        </w:tc>
        <w:tc>
          <w:tcPr>
            <w:tcW w:w="1932" w:type="pct"/>
            <w:tcBorders>
              <w:top w:val="single" w:sz="4" w:space="0" w:color="auto"/>
              <w:left w:val="single" w:sz="4" w:space="0" w:color="auto"/>
              <w:bottom w:val="single" w:sz="4" w:space="0" w:color="auto"/>
              <w:right w:val="single" w:sz="4" w:space="0" w:color="auto"/>
            </w:tcBorders>
            <w:vAlign w:val="center"/>
          </w:tcPr>
          <w:p w14:paraId="5C401D4E" w14:textId="77777777" w:rsidR="003B4FE0" w:rsidRDefault="003B4FE0" w:rsidP="00EA75CB">
            <w:pPr>
              <w:jc w:val="right"/>
            </w:pPr>
            <w:r>
              <w:rPr>
                <w:rFonts w:ascii="宋体" w:hAnsi="宋体" w:hint="eastAsia"/>
                <w:lang w:eastAsia="zh-Hans"/>
              </w:rPr>
              <w:t>113.01</w:t>
            </w:r>
          </w:p>
        </w:tc>
      </w:tr>
    </w:tbl>
    <w:p w14:paraId="7E89F365" w14:textId="77777777" w:rsidR="003B4FE0" w:rsidRDefault="003B4FE0" w:rsidP="003B4FE0">
      <w:pPr>
        <w:pStyle w:val="XBRLTitle2"/>
        <w:spacing w:before="156" w:after="156" w:line="360" w:lineRule="auto"/>
        <w:rPr>
          <w:rFonts w:hAnsi="宋体"/>
        </w:rPr>
      </w:pPr>
      <w:bookmarkStart w:id="139" w:name="_Toc17898202"/>
      <w:bookmarkStart w:id="140" w:name="_Toc17897954"/>
      <w:bookmarkStart w:id="141" w:name="_Toc481075071"/>
      <w:bookmarkStart w:id="142" w:name="_Toc438646472"/>
      <w:bookmarkStart w:id="143" w:name="_Toc490050024"/>
      <w:bookmarkStart w:id="144" w:name="_Toc512519503"/>
      <w:bookmarkStart w:id="145" w:name="_Toc513295863"/>
      <w:bookmarkStart w:id="146" w:name="_Toc513295915"/>
      <w:bookmarkStart w:id="147" w:name="m506"/>
      <w:bookmarkEnd w:id="138"/>
      <w:r>
        <w:rPr>
          <w:rFonts w:hAnsi="宋体" w:hint="eastAsia"/>
        </w:rPr>
        <w:t>报告期末按公允价值占基金资产净值比例大小排序的前五名债券投资明细</w:t>
      </w:r>
      <w:bookmarkEnd w:id="139"/>
      <w:bookmarkEnd w:id="140"/>
      <w:bookmarkEnd w:id="141"/>
      <w:bookmarkEnd w:id="142"/>
      <w:bookmarkEnd w:id="143"/>
      <w:bookmarkEnd w:id="144"/>
      <w:bookmarkEnd w:id="145"/>
      <w:bookmarkEnd w:id="146"/>
      <w:r>
        <w:rPr>
          <w:rFonts w:hAnsi="宋体" w:hint="eastAsi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8"/>
        <w:gridCol w:w="975"/>
        <w:gridCol w:w="1428"/>
        <w:gridCol w:w="1109"/>
        <w:gridCol w:w="1711"/>
        <w:gridCol w:w="2345"/>
      </w:tblGrid>
      <w:tr w:rsidR="003B4FE0" w14:paraId="37CA30F9" w14:textId="77777777" w:rsidTr="00EA75CB">
        <w:trPr>
          <w:trHeight w:val="315"/>
        </w:trPr>
        <w:tc>
          <w:tcPr>
            <w:tcW w:w="440" w:type="pct"/>
            <w:tcBorders>
              <w:top w:val="single" w:sz="4" w:space="0" w:color="auto"/>
              <w:left w:val="single" w:sz="4" w:space="0" w:color="auto"/>
              <w:bottom w:val="single" w:sz="4" w:space="0" w:color="auto"/>
              <w:right w:val="single" w:sz="4" w:space="0" w:color="auto"/>
            </w:tcBorders>
            <w:shd w:val="clear" w:color="auto" w:fill="D9D9D9"/>
            <w:vAlign w:val="center"/>
          </w:tcPr>
          <w:p w14:paraId="0D4B6926" w14:textId="77777777" w:rsidR="003B4FE0" w:rsidRDefault="003B4FE0" w:rsidP="00EA75CB">
            <w:pPr>
              <w:jc w:val="center"/>
              <w:rPr>
                <w:rFonts w:ascii="宋体" w:hAnsi="宋体"/>
                <w:color w:val="000000"/>
              </w:rPr>
            </w:pPr>
            <w:r>
              <w:rPr>
                <w:rFonts w:ascii="宋体" w:hAnsi="宋体" w:hint="eastAsia"/>
                <w:color w:val="000000"/>
              </w:rPr>
              <w:t xml:space="preserve">序号 </w:t>
            </w:r>
          </w:p>
        </w:tc>
        <w:tc>
          <w:tcPr>
            <w:tcW w:w="583" w:type="pct"/>
            <w:tcBorders>
              <w:top w:val="single" w:sz="4" w:space="0" w:color="auto"/>
              <w:left w:val="single" w:sz="4" w:space="0" w:color="auto"/>
              <w:bottom w:val="single" w:sz="4" w:space="0" w:color="auto"/>
              <w:right w:val="single" w:sz="4" w:space="0" w:color="auto"/>
            </w:tcBorders>
            <w:shd w:val="clear" w:color="auto" w:fill="D9D9D9"/>
            <w:vAlign w:val="center"/>
          </w:tcPr>
          <w:p w14:paraId="210D893C" w14:textId="77777777" w:rsidR="003B4FE0" w:rsidRDefault="003B4FE0" w:rsidP="00EA75CB">
            <w:pPr>
              <w:jc w:val="center"/>
              <w:rPr>
                <w:rFonts w:ascii="宋体" w:hAnsi="宋体"/>
                <w:color w:val="000000"/>
              </w:rPr>
            </w:pPr>
            <w:r>
              <w:rPr>
                <w:rFonts w:ascii="宋体" w:hAnsi="宋体" w:hint="eastAsia"/>
                <w:color w:val="000000"/>
              </w:rPr>
              <w:t xml:space="preserve">债券代码 </w:t>
            </w:r>
          </w:p>
        </w:tc>
        <w:tc>
          <w:tcPr>
            <w:tcW w:w="862" w:type="pct"/>
            <w:tcBorders>
              <w:top w:val="single" w:sz="4" w:space="0" w:color="auto"/>
              <w:left w:val="single" w:sz="4" w:space="0" w:color="auto"/>
              <w:bottom w:val="single" w:sz="4" w:space="0" w:color="auto"/>
              <w:right w:val="single" w:sz="4" w:space="0" w:color="auto"/>
            </w:tcBorders>
            <w:shd w:val="clear" w:color="auto" w:fill="D9D9D9"/>
            <w:vAlign w:val="center"/>
          </w:tcPr>
          <w:p w14:paraId="1F567FA4" w14:textId="77777777" w:rsidR="003B4FE0" w:rsidRDefault="003B4FE0" w:rsidP="00EA75CB">
            <w:pPr>
              <w:jc w:val="center"/>
              <w:rPr>
                <w:rFonts w:ascii="宋体" w:hAnsi="宋体"/>
                <w:color w:val="000000"/>
              </w:rPr>
            </w:pPr>
            <w:r>
              <w:rPr>
                <w:rFonts w:ascii="宋体" w:hAnsi="宋体" w:hint="eastAsia"/>
                <w:color w:val="000000"/>
              </w:rPr>
              <w:t xml:space="preserve">债券名称 </w:t>
            </w:r>
          </w:p>
        </w:tc>
        <w:tc>
          <w:tcPr>
            <w:tcW w:w="669" w:type="pct"/>
            <w:tcBorders>
              <w:top w:val="single" w:sz="4" w:space="0" w:color="auto"/>
              <w:left w:val="single" w:sz="4" w:space="0" w:color="auto"/>
              <w:bottom w:val="single" w:sz="4" w:space="0" w:color="auto"/>
              <w:right w:val="single" w:sz="4" w:space="0" w:color="auto"/>
            </w:tcBorders>
            <w:shd w:val="clear" w:color="auto" w:fill="D9D9D9"/>
            <w:vAlign w:val="center"/>
          </w:tcPr>
          <w:p w14:paraId="546B7CEF" w14:textId="77777777" w:rsidR="003B4FE0" w:rsidRDefault="003B4FE0" w:rsidP="00EA75CB">
            <w:pPr>
              <w:jc w:val="center"/>
            </w:pPr>
            <w:r>
              <w:rPr>
                <w:rFonts w:ascii="宋体" w:hAnsi="宋体" w:hint="eastAsia"/>
                <w:color w:val="000000"/>
              </w:rPr>
              <w:t>数量（张）</w:t>
            </w:r>
          </w:p>
        </w:tc>
        <w:tc>
          <w:tcPr>
            <w:tcW w:w="1032" w:type="pct"/>
            <w:tcBorders>
              <w:top w:val="single" w:sz="4" w:space="0" w:color="auto"/>
              <w:left w:val="single" w:sz="4" w:space="0" w:color="auto"/>
              <w:bottom w:val="single" w:sz="4" w:space="0" w:color="auto"/>
              <w:right w:val="single" w:sz="4" w:space="0" w:color="auto"/>
            </w:tcBorders>
            <w:shd w:val="clear" w:color="auto" w:fill="D9D9D9"/>
            <w:vAlign w:val="center"/>
          </w:tcPr>
          <w:p w14:paraId="3AA4CC2B" w14:textId="77777777" w:rsidR="003B4FE0" w:rsidRDefault="003B4FE0" w:rsidP="00EA75CB">
            <w:pPr>
              <w:jc w:val="center"/>
            </w:pPr>
            <w:r>
              <w:rPr>
                <w:rFonts w:ascii="宋体" w:hAnsi="宋体" w:hint="eastAsia"/>
                <w:color w:val="000000"/>
              </w:rPr>
              <w:t>公允价值（元）</w:t>
            </w:r>
          </w:p>
        </w:tc>
        <w:tc>
          <w:tcPr>
            <w:tcW w:w="1414" w:type="pct"/>
            <w:tcBorders>
              <w:top w:val="single" w:sz="4" w:space="0" w:color="auto"/>
              <w:left w:val="single" w:sz="4" w:space="0" w:color="auto"/>
              <w:bottom w:val="single" w:sz="4" w:space="0" w:color="auto"/>
              <w:right w:val="single" w:sz="4" w:space="0" w:color="auto"/>
            </w:tcBorders>
            <w:shd w:val="clear" w:color="auto" w:fill="D9D9D9"/>
            <w:vAlign w:val="center"/>
          </w:tcPr>
          <w:p w14:paraId="5F396450" w14:textId="77777777" w:rsidR="003B4FE0" w:rsidRDefault="003B4FE0" w:rsidP="00EA75CB">
            <w:pPr>
              <w:jc w:val="center"/>
              <w:rPr>
                <w:rFonts w:ascii="宋体" w:hAnsi="宋体"/>
                <w:color w:val="000000"/>
              </w:rPr>
            </w:pPr>
            <w:r>
              <w:rPr>
                <w:rFonts w:ascii="宋体" w:hAnsi="宋体" w:hint="eastAsia"/>
                <w:color w:val="000000"/>
              </w:rPr>
              <w:t xml:space="preserve">占基金资产净值比例（%） </w:t>
            </w:r>
          </w:p>
        </w:tc>
      </w:tr>
      <w:tr w:rsidR="003B4FE0" w14:paraId="0338B221" w14:textId="77777777" w:rsidTr="00EA75CB">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2C5871D" w14:textId="77777777" w:rsidR="003B4FE0" w:rsidRDefault="003B4FE0" w:rsidP="00EA75CB">
            <w:pPr>
              <w:jc w:val="center"/>
            </w:pPr>
            <w:r>
              <w:rPr>
                <w:rFonts w:ascii="宋体" w:hAnsi="宋体" w:hint="eastAsia"/>
                <w:lang w:eastAsia="zh-Hans"/>
              </w:rPr>
              <w:t>1</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EDD4863" w14:textId="77777777" w:rsidR="003B4FE0" w:rsidRDefault="003B4FE0" w:rsidP="00EA75CB">
            <w:pPr>
              <w:jc w:val="center"/>
            </w:pPr>
            <w:r>
              <w:rPr>
                <w:rFonts w:ascii="宋体" w:hAnsi="宋体" w:hint="eastAsia"/>
                <w:lang w:eastAsia="zh-Hans"/>
              </w:rPr>
              <w:t>102001536</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A2EEA8A" w14:textId="77777777" w:rsidR="003B4FE0" w:rsidRDefault="003B4FE0" w:rsidP="00EA75CB">
            <w:pPr>
              <w:jc w:val="center"/>
            </w:pPr>
            <w:r>
              <w:rPr>
                <w:rFonts w:ascii="宋体" w:hAnsi="宋体" w:hint="eastAsia"/>
                <w:lang w:eastAsia="zh-Hans"/>
              </w:rPr>
              <w:t>20厦港务MTN004</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4E86B2E" w14:textId="77777777" w:rsidR="003B4FE0" w:rsidRDefault="003B4FE0" w:rsidP="00EA75CB">
            <w:pPr>
              <w:jc w:val="right"/>
            </w:pPr>
            <w:r>
              <w:rPr>
                <w:rFonts w:ascii="宋体" w:hAnsi="宋体" w:hint="eastAsia"/>
                <w:lang w:eastAsia="zh-Hans"/>
              </w:rPr>
              <w:t>250,000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3647C48" w14:textId="77777777" w:rsidR="003B4FE0" w:rsidRDefault="003B4FE0" w:rsidP="00EA75CB">
            <w:pPr>
              <w:jc w:val="right"/>
            </w:pPr>
            <w:r>
              <w:rPr>
                <w:rFonts w:ascii="宋体" w:hAnsi="宋体" w:hint="eastAsia"/>
                <w:lang w:eastAsia="zh-Hans"/>
              </w:rPr>
              <w:t>25,485,198.63</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100B551" w14:textId="77777777" w:rsidR="003B4FE0" w:rsidRDefault="003B4FE0" w:rsidP="00EA75CB">
            <w:pPr>
              <w:jc w:val="right"/>
            </w:pPr>
            <w:r>
              <w:rPr>
                <w:rFonts w:ascii="宋体" w:hAnsi="宋体" w:hint="eastAsia"/>
                <w:lang w:eastAsia="zh-Hans"/>
              </w:rPr>
              <w:t>3.69</w:t>
            </w:r>
          </w:p>
        </w:tc>
      </w:tr>
      <w:tr w:rsidR="003B4FE0" w14:paraId="19459DBA" w14:textId="77777777" w:rsidTr="00EA75CB">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1165D54" w14:textId="77777777" w:rsidR="003B4FE0" w:rsidRDefault="003B4FE0" w:rsidP="00EA75CB">
            <w:pPr>
              <w:jc w:val="center"/>
            </w:pPr>
            <w:r>
              <w:rPr>
                <w:rFonts w:ascii="宋体" w:hAnsi="宋体" w:hint="eastAsia"/>
                <w:lang w:eastAsia="zh-Hans"/>
              </w:rPr>
              <w:t>2</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20721FB" w14:textId="77777777" w:rsidR="003B4FE0" w:rsidRDefault="003B4FE0" w:rsidP="00EA75CB">
            <w:pPr>
              <w:jc w:val="center"/>
            </w:pPr>
            <w:r>
              <w:rPr>
                <w:rFonts w:ascii="宋体" w:hAnsi="宋体" w:hint="eastAsia"/>
                <w:lang w:eastAsia="zh-Hans"/>
              </w:rPr>
              <w:t>019679</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6AF6916" w14:textId="77777777" w:rsidR="003B4FE0" w:rsidRDefault="003B4FE0" w:rsidP="00EA75CB">
            <w:pPr>
              <w:jc w:val="center"/>
            </w:pPr>
            <w:r>
              <w:rPr>
                <w:rFonts w:ascii="宋体" w:hAnsi="宋体" w:hint="eastAsia"/>
                <w:lang w:eastAsia="zh-Hans"/>
              </w:rPr>
              <w:t>22国债14</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25F2EBC" w14:textId="77777777" w:rsidR="003B4FE0" w:rsidRDefault="003B4FE0" w:rsidP="00EA75CB">
            <w:pPr>
              <w:jc w:val="right"/>
            </w:pPr>
            <w:r>
              <w:rPr>
                <w:rFonts w:ascii="宋体" w:hAnsi="宋体" w:hint="eastAsia"/>
                <w:lang w:eastAsia="zh-Hans"/>
              </w:rPr>
              <w:t>220,800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890AF8D" w14:textId="77777777" w:rsidR="003B4FE0" w:rsidRDefault="003B4FE0" w:rsidP="00EA75CB">
            <w:pPr>
              <w:jc w:val="right"/>
            </w:pPr>
            <w:r>
              <w:rPr>
                <w:rFonts w:ascii="宋体" w:hAnsi="宋体" w:hint="eastAsia"/>
                <w:lang w:eastAsia="zh-Hans"/>
              </w:rPr>
              <w:t>22,231,384.11</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1AB721D" w14:textId="77777777" w:rsidR="003B4FE0" w:rsidRDefault="003B4FE0" w:rsidP="00EA75CB">
            <w:pPr>
              <w:jc w:val="right"/>
            </w:pPr>
            <w:r>
              <w:rPr>
                <w:rFonts w:ascii="宋体" w:hAnsi="宋体" w:hint="eastAsia"/>
                <w:lang w:eastAsia="zh-Hans"/>
              </w:rPr>
              <w:t>3.22</w:t>
            </w:r>
          </w:p>
        </w:tc>
      </w:tr>
      <w:tr w:rsidR="003B4FE0" w14:paraId="3F01C9E6" w14:textId="77777777" w:rsidTr="00EA75CB">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EC09E39" w14:textId="77777777" w:rsidR="003B4FE0" w:rsidRDefault="003B4FE0" w:rsidP="00EA75CB">
            <w:pPr>
              <w:jc w:val="center"/>
            </w:pPr>
            <w:r>
              <w:rPr>
                <w:rFonts w:ascii="宋体" w:hAnsi="宋体" w:hint="eastAsia"/>
                <w:lang w:eastAsia="zh-Hans"/>
              </w:rPr>
              <w:t>3</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E82A647" w14:textId="77777777" w:rsidR="003B4FE0" w:rsidRDefault="003B4FE0" w:rsidP="00EA75CB">
            <w:pPr>
              <w:jc w:val="center"/>
            </w:pPr>
            <w:r>
              <w:rPr>
                <w:rFonts w:ascii="宋体" w:hAnsi="宋体" w:hint="eastAsia"/>
                <w:lang w:eastAsia="zh-Hans"/>
              </w:rPr>
              <w:t>019666</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531ED20" w14:textId="77777777" w:rsidR="003B4FE0" w:rsidRDefault="003B4FE0" w:rsidP="00EA75CB">
            <w:pPr>
              <w:jc w:val="center"/>
            </w:pPr>
            <w:r>
              <w:rPr>
                <w:rFonts w:ascii="宋体" w:hAnsi="宋体" w:hint="eastAsia"/>
                <w:lang w:eastAsia="zh-Hans"/>
              </w:rPr>
              <w:t>22国债01</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762BDB6" w14:textId="77777777" w:rsidR="003B4FE0" w:rsidRDefault="003B4FE0" w:rsidP="00EA75CB">
            <w:pPr>
              <w:jc w:val="right"/>
            </w:pPr>
            <w:r>
              <w:rPr>
                <w:rFonts w:ascii="宋体" w:hAnsi="宋体" w:hint="eastAsia"/>
                <w:lang w:eastAsia="zh-Hans"/>
              </w:rPr>
              <w:t>213,000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214EE33" w14:textId="77777777" w:rsidR="003B4FE0" w:rsidRDefault="003B4FE0" w:rsidP="00EA75CB">
            <w:pPr>
              <w:jc w:val="right"/>
            </w:pPr>
            <w:r>
              <w:rPr>
                <w:rFonts w:ascii="宋体" w:hAnsi="宋体" w:hint="eastAsia"/>
                <w:lang w:eastAsia="zh-Hans"/>
              </w:rPr>
              <w:t>21,730,464.25</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802D067" w14:textId="77777777" w:rsidR="003B4FE0" w:rsidRDefault="003B4FE0" w:rsidP="00EA75CB">
            <w:pPr>
              <w:jc w:val="right"/>
            </w:pPr>
            <w:r>
              <w:rPr>
                <w:rFonts w:ascii="宋体" w:hAnsi="宋体" w:hint="eastAsia"/>
                <w:lang w:eastAsia="zh-Hans"/>
              </w:rPr>
              <w:t>3.14</w:t>
            </w:r>
          </w:p>
        </w:tc>
      </w:tr>
      <w:tr w:rsidR="003B4FE0" w14:paraId="2E97C475" w14:textId="77777777" w:rsidTr="00EA75CB">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2AB4529" w14:textId="77777777" w:rsidR="003B4FE0" w:rsidRDefault="003B4FE0" w:rsidP="00EA75CB">
            <w:pPr>
              <w:jc w:val="center"/>
            </w:pPr>
            <w:r>
              <w:rPr>
                <w:rFonts w:ascii="宋体" w:hAnsi="宋体" w:hint="eastAsia"/>
                <w:lang w:eastAsia="zh-Hans"/>
              </w:rPr>
              <w:t>4</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F89101C" w14:textId="77777777" w:rsidR="003B4FE0" w:rsidRDefault="003B4FE0" w:rsidP="00EA75CB">
            <w:pPr>
              <w:jc w:val="center"/>
            </w:pPr>
            <w:r>
              <w:rPr>
                <w:rFonts w:ascii="宋体" w:hAnsi="宋体" w:hint="eastAsia"/>
                <w:lang w:eastAsia="zh-Hans"/>
              </w:rPr>
              <w:t>019629</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83BD053" w14:textId="77777777" w:rsidR="003B4FE0" w:rsidRDefault="003B4FE0" w:rsidP="00EA75CB">
            <w:pPr>
              <w:jc w:val="center"/>
            </w:pPr>
            <w:r>
              <w:rPr>
                <w:rFonts w:ascii="宋体" w:hAnsi="宋体" w:hint="eastAsia"/>
                <w:lang w:eastAsia="zh-Hans"/>
              </w:rPr>
              <w:t>20国债03</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9B3C4EF" w14:textId="77777777" w:rsidR="003B4FE0" w:rsidRDefault="003B4FE0" w:rsidP="00EA75CB">
            <w:pPr>
              <w:jc w:val="right"/>
            </w:pPr>
            <w:r>
              <w:rPr>
                <w:rFonts w:ascii="宋体" w:hAnsi="宋体" w:hint="eastAsia"/>
                <w:lang w:eastAsia="zh-Hans"/>
              </w:rPr>
              <w:t>212,000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096FB4A" w14:textId="77777777" w:rsidR="003B4FE0" w:rsidRDefault="003B4FE0" w:rsidP="00EA75CB">
            <w:pPr>
              <w:jc w:val="right"/>
            </w:pPr>
            <w:r>
              <w:rPr>
                <w:rFonts w:ascii="宋体" w:hAnsi="宋体" w:hint="eastAsia"/>
                <w:lang w:eastAsia="zh-Hans"/>
              </w:rPr>
              <w:t>21,601,394.41</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B33001A" w14:textId="77777777" w:rsidR="003B4FE0" w:rsidRDefault="003B4FE0" w:rsidP="00EA75CB">
            <w:pPr>
              <w:jc w:val="right"/>
            </w:pPr>
            <w:r>
              <w:rPr>
                <w:rFonts w:ascii="宋体" w:hAnsi="宋体" w:hint="eastAsia"/>
                <w:lang w:eastAsia="zh-Hans"/>
              </w:rPr>
              <w:t>3.13</w:t>
            </w:r>
          </w:p>
        </w:tc>
      </w:tr>
      <w:tr w:rsidR="003B4FE0" w14:paraId="208AD8CC" w14:textId="77777777" w:rsidTr="00EA75CB">
        <w:trPr>
          <w:trHeight w:val="285"/>
        </w:trPr>
        <w:tc>
          <w:tcPr>
            <w:tcW w:w="44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F5887BC" w14:textId="77777777" w:rsidR="003B4FE0" w:rsidRDefault="003B4FE0" w:rsidP="00EA75CB">
            <w:pPr>
              <w:jc w:val="center"/>
            </w:pPr>
            <w:r>
              <w:rPr>
                <w:rFonts w:ascii="宋体" w:hAnsi="宋体" w:hint="eastAsia"/>
                <w:lang w:eastAsia="zh-Hans"/>
              </w:rPr>
              <w:t>5</w:t>
            </w:r>
          </w:p>
        </w:tc>
        <w:tc>
          <w:tcPr>
            <w:tcW w:w="583"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25BF8DC" w14:textId="77777777" w:rsidR="003B4FE0" w:rsidRDefault="003B4FE0" w:rsidP="00EA75CB">
            <w:pPr>
              <w:jc w:val="center"/>
            </w:pPr>
            <w:r>
              <w:rPr>
                <w:rFonts w:ascii="宋体" w:hAnsi="宋体" w:hint="eastAsia"/>
                <w:lang w:eastAsia="zh-Hans"/>
              </w:rPr>
              <w:t>101800138</w:t>
            </w:r>
          </w:p>
        </w:tc>
        <w:tc>
          <w:tcPr>
            <w:tcW w:w="86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D66E74A" w14:textId="77777777" w:rsidR="003B4FE0" w:rsidRDefault="003B4FE0" w:rsidP="00EA75CB">
            <w:pPr>
              <w:jc w:val="center"/>
            </w:pPr>
            <w:r>
              <w:rPr>
                <w:rFonts w:ascii="宋体" w:hAnsi="宋体" w:hint="eastAsia"/>
                <w:lang w:eastAsia="zh-Hans"/>
              </w:rPr>
              <w:t>18安东控股MTN001</w:t>
            </w:r>
          </w:p>
        </w:tc>
        <w:tc>
          <w:tcPr>
            <w:tcW w:w="66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FC3D3C7" w14:textId="77777777" w:rsidR="003B4FE0" w:rsidRDefault="003B4FE0" w:rsidP="00EA75CB">
            <w:pPr>
              <w:jc w:val="right"/>
            </w:pPr>
            <w:r>
              <w:rPr>
                <w:rFonts w:ascii="宋体" w:hAnsi="宋体" w:hint="eastAsia"/>
                <w:lang w:eastAsia="zh-Hans"/>
              </w:rPr>
              <w:t>200,000</w:t>
            </w:r>
          </w:p>
        </w:tc>
        <w:tc>
          <w:tcPr>
            <w:tcW w:w="103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6A06796" w14:textId="77777777" w:rsidR="003B4FE0" w:rsidRDefault="003B4FE0" w:rsidP="00EA75CB">
            <w:pPr>
              <w:jc w:val="right"/>
            </w:pPr>
            <w:r>
              <w:rPr>
                <w:rFonts w:ascii="宋体" w:hAnsi="宋体" w:hint="eastAsia"/>
                <w:lang w:eastAsia="zh-Hans"/>
              </w:rPr>
              <w:t>21,396,849.32</w:t>
            </w:r>
          </w:p>
        </w:tc>
        <w:tc>
          <w:tcPr>
            <w:tcW w:w="141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2B2CDB9" w14:textId="77777777" w:rsidR="003B4FE0" w:rsidRDefault="003B4FE0" w:rsidP="00EA75CB">
            <w:pPr>
              <w:jc w:val="right"/>
            </w:pPr>
            <w:r>
              <w:rPr>
                <w:rFonts w:ascii="宋体" w:hAnsi="宋体" w:hint="eastAsia"/>
                <w:lang w:eastAsia="zh-Hans"/>
              </w:rPr>
              <w:t>3.10</w:t>
            </w:r>
          </w:p>
        </w:tc>
      </w:tr>
    </w:tbl>
    <w:p w14:paraId="09ABD27F" w14:textId="77777777" w:rsidR="003B4FE0" w:rsidRDefault="003B4FE0" w:rsidP="003B4FE0">
      <w:pPr>
        <w:pStyle w:val="XBRLTitle2"/>
        <w:spacing w:before="156" w:after="156" w:line="360" w:lineRule="auto"/>
        <w:rPr>
          <w:rFonts w:hAnsi="宋体"/>
        </w:rPr>
      </w:pPr>
      <w:bookmarkStart w:id="148" w:name="_Toc17898203"/>
      <w:bookmarkStart w:id="149" w:name="_Toc17897955"/>
      <w:bookmarkStart w:id="150" w:name="_Toc481075072"/>
      <w:bookmarkStart w:id="151" w:name="_Toc438646473"/>
      <w:bookmarkStart w:id="152" w:name="_Toc490050025"/>
      <w:bookmarkStart w:id="153" w:name="_Toc512519504"/>
      <w:bookmarkStart w:id="154" w:name="_Toc513295864"/>
      <w:bookmarkStart w:id="155" w:name="_Toc513295916"/>
      <w:bookmarkStart w:id="156" w:name="m507"/>
      <w:bookmarkEnd w:id="147"/>
      <w:r>
        <w:rPr>
          <w:rFonts w:hAnsi="宋体" w:hint="eastAsia"/>
        </w:rPr>
        <w:t>报告期末按公允价值占基金资产净值比例大小排序的前十名资产支持证券投资明细</w:t>
      </w:r>
      <w:bookmarkEnd w:id="148"/>
      <w:bookmarkEnd w:id="149"/>
      <w:bookmarkEnd w:id="150"/>
      <w:bookmarkEnd w:id="151"/>
      <w:bookmarkEnd w:id="152"/>
      <w:bookmarkEnd w:id="153"/>
      <w:bookmarkEnd w:id="154"/>
      <w:bookmarkEnd w:id="155"/>
      <w:r>
        <w:rPr>
          <w:rFonts w:hAnsi="宋体" w:hint="eastAsia"/>
        </w:rPr>
        <w:t xml:space="preserve"> </w:t>
      </w:r>
    </w:p>
    <w:p w14:paraId="1FB70816" w14:textId="77777777" w:rsidR="003B4FE0" w:rsidRDefault="003B4FE0" w:rsidP="003B4FE0">
      <w:pPr>
        <w:spacing w:line="360" w:lineRule="auto"/>
        <w:ind w:firstLineChars="200" w:firstLine="420"/>
        <w:jc w:val="left"/>
      </w:pPr>
      <w:r>
        <w:rPr>
          <w:rFonts w:ascii="宋体" w:hAnsi="宋体" w:hint="eastAsia"/>
          <w:color w:val="000000"/>
          <w:lang w:eastAsia="zh-Hans"/>
        </w:rPr>
        <w:t>本基金本报告期末未持有资产支持证券。</w:t>
      </w:r>
    </w:p>
    <w:p w14:paraId="4BBE0570" w14:textId="77777777" w:rsidR="003B4FE0" w:rsidRDefault="003B4FE0" w:rsidP="003B4FE0">
      <w:pPr>
        <w:pStyle w:val="XBRLTitle2"/>
        <w:spacing w:before="156" w:after="156" w:line="360" w:lineRule="auto"/>
        <w:rPr>
          <w:rFonts w:hAnsi="宋体"/>
        </w:rPr>
      </w:pPr>
      <w:bookmarkStart w:id="157" w:name="_Toc17898204"/>
      <w:bookmarkStart w:id="158" w:name="_Toc17897956"/>
      <w:bookmarkStart w:id="159" w:name="_Toc481075073"/>
      <w:bookmarkStart w:id="160" w:name="_Toc438646474"/>
      <w:bookmarkStart w:id="161" w:name="_Toc490050026"/>
      <w:bookmarkStart w:id="162" w:name="_Toc512519505"/>
      <w:bookmarkStart w:id="163" w:name="_Toc513295865"/>
      <w:bookmarkStart w:id="164" w:name="_Toc513295917"/>
      <w:bookmarkStart w:id="165" w:name="m508"/>
      <w:bookmarkEnd w:id="156"/>
      <w:r>
        <w:rPr>
          <w:rFonts w:hAnsi="宋体" w:hint="eastAsia"/>
        </w:rPr>
        <w:t>报告期末按公允价值占基金资产净值比例大小排序的前五名贵金属投资明细</w:t>
      </w:r>
      <w:bookmarkEnd w:id="157"/>
      <w:bookmarkEnd w:id="158"/>
      <w:bookmarkEnd w:id="159"/>
      <w:bookmarkEnd w:id="160"/>
      <w:bookmarkEnd w:id="161"/>
      <w:bookmarkEnd w:id="162"/>
      <w:bookmarkEnd w:id="163"/>
      <w:bookmarkEnd w:id="164"/>
      <w:r>
        <w:rPr>
          <w:rFonts w:hAnsi="宋体" w:hint="eastAsia"/>
        </w:rPr>
        <w:t xml:space="preserve"> </w:t>
      </w:r>
    </w:p>
    <w:p w14:paraId="53E38489" w14:textId="77777777" w:rsidR="003B4FE0" w:rsidRDefault="003B4FE0" w:rsidP="003B4FE0">
      <w:pPr>
        <w:spacing w:line="360" w:lineRule="auto"/>
        <w:ind w:firstLineChars="200" w:firstLine="420"/>
      </w:pPr>
      <w:r>
        <w:rPr>
          <w:rFonts w:ascii="宋体" w:hAnsi="宋体" w:hint="eastAsia"/>
          <w:lang w:eastAsia="zh-Hans"/>
        </w:rPr>
        <w:t>本基金本报告期末未持有贵金属。</w:t>
      </w:r>
    </w:p>
    <w:p w14:paraId="5A60565B" w14:textId="77777777" w:rsidR="003B4FE0" w:rsidRDefault="003B4FE0" w:rsidP="003B4FE0">
      <w:pPr>
        <w:pStyle w:val="XBRLTitle2"/>
        <w:spacing w:before="156" w:after="156" w:line="360" w:lineRule="auto"/>
        <w:rPr>
          <w:rFonts w:hAnsi="宋体"/>
        </w:rPr>
      </w:pPr>
      <w:bookmarkStart w:id="166" w:name="_Toc17898205"/>
      <w:bookmarkStart w:id="167" w:name="_Toc17897957"/>
      <w:bookmarkStart w:id="168" w:name="_Toc481075074"/>
      <w:bookmarkStart w:id="169" w:name="_Toc438646475"/>
      <w:bookmarkStart w:id="170" w:name="_Toc490050027"/>
      <w:bookmarkStart w:id="171" w:name="_Toc512519506"/>
      <w:bookmarkStart w:id="172" w:name="_Toc513295866"/>
      <w:bookmarkStart w:id="173" w:name="_Toc513295918"/>
      <w:bookmarkStart w:id="174" w:name="m509"/>
      <w:bookmarkEnd w:id="165"/>
      <w:r>
        <w:rPr>
          <w:rFonts w:hAnsi="宋体" w:hint="eastAsia"/>
        </w:rPr>
        <w:t>报告期末按公允价值占基金资产净值比例大小排序的前五名权证投资明细</w:t>
      </w:r>
      <w:bookmarkEnd w:id="166"/>
      <w:bookmarkEnd w:id="167"/>
      <w:bookmarkEnd w:id="168"/>
      <w:bookmarkEnd w:id="169"/>
      <w:bookmarkEnd w:id="170"/>
      <w:bookmarkEnd w:id="171"/>
      <w:bookmarkEnd w:id="172"/>
      <w:bookmarkEnd w:id="173"/>
      <w:r>
        <w:rPr>
          <w:rFonts w:hAnsi="宋体" w:hint="eastAsia"/>
        </w:rPr>
        <w:t xml:space="preserve"> </w:t>
      </w:r>
      <w:bookmarkEnd w:id="174"/>
    </w:p>
    <w:p w14:paraId="3CDDD20D" w14:textId="77777777" w:rsidR="003B4FE0" w:rsidRDefault="003B4FE0" w:rsidP="003B4FE0">
      <w:pPr>
        <w:spacing w:line="360" w:lineRule="auto"/>
        <w:ind w:firstLineChars="200" w:firstLine="420"/>
      </w:pPr>
      <w:r>
        <w:rPr>
          <w:rFonts w:ascii="宋体" w:hAnsi="宋体" w:hint="eastAsia"/>
          <w:lang w:eastAsia="zh-Hans"/>
        </w:rPr>
        <w:t>本基金本报告期末未持有权证。</w:t>
      </w:r>
    </w:p>
    <w:p w14:paraId="24D01344" w14:textId="77777777" w:rsidR="003B4FE0" w:rsidRDefault="003B4FE0" w:rsidP="003B4FE0">
      <w:pPr>
        <w:pStyle w:val="XBRLTitle2"/>
        <w:spacing w:before="156" w:after="156" w:line="360" w:lineRule="auto"/>
        <w:rPr>
          <w:rFonts w:hAnsi="宋体"/>
        </w:rPr>
      </w:pPr>
      <w:bookmarkStart w:id="175" w:name="_Toc17898209"/>
      <w:bookmarkStart w:id="176" w:name="_Toc17897959"/>
      <w:bookmarkStart w:id="177" w:name="_Toc512519510"/>
      <w:bookmarkStart w:id="178" w:name="_Toc481075078"/>
      <w:bookmarkStart w:id="179" w:name="_Toc490050031"/>
      <w:bookmarkStart w:id="180" w:name="_Toc513295868"/>
      <w:bookmarkStart w:id="181" w:name="_Toc513295922"/>
      <w:bookmarkStart w:id="182" w:name="_Toc438646476"/>
      <w:r>
        <w:rPr>
          <w:rFonts w:hAnsi="宋体" w:hint="eastAsia"/>
        </w:rPr>
        <w:t>报告期末本基金投资的国债期货交易情况说明</w:t>
      </w:r>
      <w:bookmarkEnd w:id="175"/>
      <w:bookmarkEnd w:id="176"/>
      <w:bookmarkEnd w:id="177"/>
      <w:bookmarkEnd w:id="178"/>
      <w:bookmarkEnd w:id="179"/>
      <w:bookmarkEnd w:id="180"/>
      <w:bookmarkEnd w:id="181"/>
      <w:r>
        <w:rPr>
          <w:rFonts w:hAnsi="宋体" w:hint="eastAsia"/>
        </w:rPr>
        <w:t xml:space="preserve"> </w:t>
      </w:r>
    </w:p>
    <w:p w14:paraId="5D7FE9AC" w14:textId="77777777" w:rsidR="003B4FE0" w:rsidRDefault="003B4FE0" w:rsidP="003B4FE0">
      <w:pPr>
        <w:pStyle w:val="XBRLTitle3"/>
        <w:spacing w:before="156" w:after="156"/>
      </w:pPr>
      <w:bookmarkStart w:id="183" w:name="_Toc17898210"/>
      <w:bookmarkStart w:id="184" w:name="_Toc512519511"/>
      <w:bookmarkStart w:id="185" w:name="_Toc481075079"/>
      <w:bookmarkStart w:id="186" w:name="_Toc490050032"/>
      <w:bookmarkStart w:id="187" w:name="_Toc513295923"/>
      <w:bookmarkStart w:id="188" w:name="m510_01_1597"/>
      <w:r>
        <w:rPr>
          <w:rFonts w:hint="eastAsia"/>
        </w:rPr>
        <w:t>本期国债期货投资政策</w:t>
      </w:r>
      <w:bookmarkEnd w:id="183"/>
      <w:bookmarkEnd w:id="184"/>
      <w:bookmarkEnd w:id="185"/>
      <w:bookmarkEnd w:id="186"/>
      <w:bookmarkEnd w:id="187"/>
    </w:p>
    <w:p w14:paraId="0F3460C0" w14:textId="77777777" w:rsidR="003B4FE0" w:rsidRDefault="003B4FE0" w:rsidP="003B4FE0">
      <w:pPr>
        <w:spacing w:line="360" w:lineRule="auto"/>
        <w:ind w:firstLineChars="200" w:firstLine="420"/>
        <w:rPr>
          <w:rFonts w:ascii="宋体" w:hAnsi="宋体"/>
        </w:rPr>
      </w:pPr>
      <w:r>
        <w:rPr>
          <w:rFonts w:ascii="宋体" w:hAnsi="宋体" w:hint="eastAsia"/>
        </w:rPr>
        <w:t>本基金本报告期末未持有国债期货。</w:t>
      </w:r>
      <w:bookmarkEnd w:id="182"/>
      <w:r>
        <w:rPr>
          <w:rFonts w:ascii="宋体" w:hAnsi="宋体" w:hint="eastAsia"/>
        </w:rPr>
        <w:t xml:space="preserve"> </w:t>
      </w:r>
    </w:p>
    <w:p w14:paraId="6770637D" w14:textId="77777777" w:rsidR="003B4FE0" w:rsidRDefault="003B4FE0" w:rsidP="003B4FE0">
      <w:pPr>
        <w:pStyle w:val="XBRLTitle3"/>
        <w:spacing w:before="156" w:after="156"/>
      </w:pPr>
      <w:bookmarkStart w:id="189" w:name="_Toc17898211"/>
      <w:bookmarkStart w:id="190" w:name="_Toc481075080"/>
      <w:bookmarkStart w:id="191" w:name="_Toc490050033"/>
      <w:bookmarkStart w:id="192" w:name="_Toc512519512"/>
      <w:bookmarkStart w:id="193" w:name="_Toc513295924"/>
      <w:bookmarkStart w:id="194" w:name="m510_01_1598"/>
      <w:bookmarkEnd w:id="188"/>
      <w:r>
        <w:rPr>
          <w:rFonts w:hint="eastAsia"/>
        </w:rPr>
        <w:t>报告期末本基金投资的国债期货持仓和损益明细</w:t>
      </w:r>
      <w:bookmarkEnd w:id="189"/>
      <w:bookmarkEnd w:id="190"/>
      <w:bookmarkEnd w:id="191"/>
      <w:bookmarkEnd w:id="192"/>
      <w:bookmarkEnd w:id="193"/>
      <w:r>
        <w:rPr>
          <w:rFonts w:hint="eastAsia"/>
        </w:rPr>
        <w:t xml:space="preserve"> </w:t>
      </w:r>
    </w:p>
    <w:p w14:paraId="5DA5A606" w14:textId="77777777" w:rsidR="003B4FE0" w:rsidRDefault="003B4FE0" w:rsidP="003B4FE0">
      <w:pPr>
        <w:spacing w:line="360" w:lineRule="auto"/>
        <w:ind w:firstLineChars="200" w:firstLine="420"/>
      </w:pPr>
      <w:r>
        <w:rPr>
          <w:rFonts w:ascii="宋体" w:hAnsi="宋体" w:hint="eastAsia"/>
          <w:lang w:eastAsia="zh-Hans"/>
        </w:rPr>
        <w:t>本基金本报告期末未持有国债期货。</w:t>
      </w:r>
    </w:p>
    <w:p w14:paraId="36DF186F" w14:textId="77777777" w:rsidR="003B4FE0" w:rsidRDefault="003B4FE0" w:rsidP="003B4FE0">
      <w:pPr>
        <w:pStyle w:val="XBRLTitle3"/>
        <w:spacing w:before="156" w:after="156"/>
      </w:pPr>
      <w:bookmarkStart w:id="195" w:name="_Toc17898212"/>
      <w:bookmarkStart w:id="196" w:name="_Toc512519513"/>
      <w:bookmarkStart w:id="197" w:name="_Toc481075081"/>
      <w:bookmarkStart w:id="198" w:name="_Toc490050034"/>
      <w:bookmarkStart w:id="199" w:name="_Toc513295925"/>
      <w:r>
        <w:rPr>
          <w:rFonts w:hint="eastAsia"/>
        </w:rPr>
        <w:t>本期国债期货投资评价</w:t>
      </w:r>
      <w:bookmarkEnd w:id="195"/>
      <w:bookmarkEnd w:id="196"/>
      <w:bookmarkEnd w:id="197"/>
      <w:bookmarkEnd w:id="198"/>
      <w:bookmarkEnd w:id="199"/>
    </w:p>
    <w:p w14:paraId="27B93584" w14:textId="77777777" w:rsidR="003B4FE0" w:rsidRDefault="003B4FE0" w:rsidP="003B4FE0">
      <w:pPr>
        <w:spacing w:line="360" w:lineRule="auto"/>
        <w:ind w:firstLineChars="200" w:firstLine="420"/>
      </w:pPr>
      <w:r>
        <w:rPr>
          <w:rFonts w:ascii="宋体" w:hAnsi="宋体" w:hint="eastAsia"/>
        </w:rPr>
        <w:t>本基金本报告期末未持有国债期货。</w:t>
      </w:r>
    </w:p>
    <w:p w14:paraId="0746BE9B" w14:textId="77777777" w:rsidR="003B4FE0" w:rsidRDefault="003B4FE0" w:rsidP="003B4FE0">
      <w:pPr>
        <w:pStyle w:val="XBRLTitle2"/>
        <w:spacing w:before="156" w:after="156" w:line="360" w:lineRule="auto"/>
        <w:rPr>
          <w:rFonts w:hAnsi="宋体"/>
        </w:rPr>
      </w:pPr>
      <w:bookmarkStart w:id="200" w:name="_Toc17898213"/>
      <w:bookmarkStart w:id="201" w:name="_Toc17897960"/>
      <w:bookmarkStart w:id="202" w:name="_Toc512519514"/>
      <w:bookmarkStart w:id="203" w:name="_Toc481075082"/>
      <w:bookmarkStart w:id="204" w:name="_Toc490050035"/>
      <w:bookmarkStart w:id="205" w:name="_Toc513295869"/>
      <w:bookmarkStart w:id="206" w:name="_Toc513295926"/>
      <w:r>
        <w:rPr>
          <w:rFonts w:hAnsi="宋体" w:hint="eastAsia"/>
        </w:rPr>
        <w:lastRenderedPageBreak/>
        <w:t>投资组合报告附注</w:t>
      </w:r>
      <w:bookmarkEnd w:id="200"/>
      <w:bookmarkEnd w:id="201"/>
      <w:bookmarkEnd w:id="202"/>
      <w:bookmarkEnd w:id="203"/>
      <w:bookmarkEnd w:id="204"/>
      <w:bookmarkEnd w:id="205"/>
      <w:bookmarkEnd w:id="206"/>
      <w:r>
        <w:rPr>
          <w:rFonts w:hAnsi="宋体" w:hint="eastAsia"/>
        </w:rPr>
        <w:t xml:space="preserve"> </w:t>
      </w:r>
    </w:p>
    <w:p w14:paraId="400AF5E2" w14:textId="77777777" w:rsidR="003B4FE0" w:rsidRDefault="003B4FE0" w:rsidP="003B4FE0">
      <w:pPr>
        <w:pStyle w:val="XBRLTitle3"/>
        <w:spacing w:before="156" w:after="156"/>
      </w:pPr>
      <w:bookmarkStart w:id="207" w:name="_Toc512519515"/>
      <w:bookmarkStart w:id="208" w:name="_Toc481075083"/>
      <w:bookmarkStart w:id="209" w:name="_Toc490050036"/>
      <w:bookmarkStart w:id="210" w:name="_Toc513295927"/>
      <w:bookmarkStart w:id="211" w:name="_Toc17898214"/>
      <w:r>
        <w:rPr>
          <w:rFonts w:hAnsi="宋体" w:hint="eastAsia"/>
        </w:rPr>
        <w:t>本基金投资的前十名证券的发行主体本期是否出现被监管部门立案调查，或在报告编制日前一年内受到公开谴责、处罚的情形</w:t>
      </w:r>
      <w:bookmarkEnd w:id="207"/>
      <w:bookmarkEnd w:id="208"/>
      <w:bookmarkEnd w:id="209"/>
      <w:bookmarkEnd w:id="210"/>
      <w:bookmarkEnd w:id="211"/>
    </w:p>
    <w:p w14:paraId="7F87B411" w14:textId="77777777" w:rsidR="003B4FE0" w:rsidRDefault="003B4FE0" w:rsidP="003B4FE0">
      <w:pPr>
        <w:spacing w:line="360" w:lineRule="auto"/>
        <w:ind w:firstLineChars="200" w:firstLine="420"/>
      </w:pPr>
      <w:r>
        <w:rPr>
          <w:rFonts w:ascii="宋体" w:hAnsi="宋体" w:hint="eastAsia"/>
        </w:rPr>
        <w:t>报告期内，本基金投资的前十名证券的发行主体没有被监管部门立案调查，或在报告编制日前一年内受到公开谴责、处罚的情形。</w:t>
      </w:r>
    </w:p>
    <w:p w14:paraId="1413EFA2" w14:textId="77777777" w:rsidR="003B4FE0" w:rsidRDefault="003B4FE0" w:rsidP="003B4FE0">
      <w:pPr>
        <w:pStyle w:val="XBRLTitle3"/>
        <w:spacing w:before="156" w:after="156"/>
      </w:pPr>
      <w:bookmarkStart w:id="212" w:name="_Toc512519516"/>
      <w:bookmarkStart w:id="213" w:name="_Toc481075084"/>
      <w:bookmarkStart w:id="214" w:name="_Toc490050037"/>
      <w:bookmarkStart w:id="215" w:name="_Toc513295928"/>
      <w:bookmarkStart w:id="216" w:name="_Toc17898215"/>
      <w:r>
        <w:rPr>
          <w:rFonts w:hAnsi="宋体" w:hint="eastAsia"/>
        </w:rPr>
        <w:t>基金投资的前十名股票是否超出基金合同规定的备选股票库</w:t>
      </w:r>
      <w:bookmarkEnd w:id="212"/>
      <w:bookmarkEnd w:id="213"/>
      <w:bookmarkEnd w:id="214"/>
      <w:bookmarkEnd w:id="215"/>
      <w:bookmarkEnd w:id="216"/>
    </w:p>
    <w:p w14:paraId="5BDCCC47" w14:textId="77777777" w:rsidR="003B4FE0" w:rsidRDefault="003B4FE0" w:rsidP="003B4FE0">
      <w:pPr>
        <w:spacing w:line="360" w:lineRule="auto"/>
        <w:ind w:firstLineChars="200" w:firstLine="420"/>
      </w:pPr>
      <w:r>
        <w:rPr>
          <w:rFonts w:ascii="宋体" w:hAnsi="宋体" w:hint="eastAsia"/>
        </w:rPr>
        <w:t>报告期内，本基金未持有股票。</w:t>
      </w:r>
    </w:p>
    <w:p w14:paraId="4095A300" w14:textId="77777777" w:rsidR="003B4FE0" w:rsidRDefault="003B4FE0" w:rsidP="003B4FE0">
      <w:pPr>
        <w:pStyle w:val="XBRLTitle3"/>
        <w:spacing w:before="156" w:after="156"/>
      </w:pPr>
      <w:bookmarkStart w:id="217" w:name="_Toc17898216"/>
      <w:bookmarkStart w:id="218" w:name="_Toc481075085"/>
      <w:bookmarkStart w:id="219" w:name="_Toc490050038"/>
      <w:bookmarkStart w:id="220" w:name="_Toc512519517"/>
      <w:bookmarkStart w:id="221" w:name="_Toc513295929"/>
      <w:bookmarkStart w:id="222" w:name="m510_02"/>
      <w:bookmarkEnd w:id="194"/>
      <w:r>
        <w:rPr>
          <w:rFonts w:hint="eastAsia"/>
        </w:rPr>
        <w:t>其他资产构成</w:t>
      </w:r>
      <w:bookmarkEnd w:id="217"/>
      <w:bookmarkEnd w:id="218"/>
      <w:bookmarkEnd w:id="219"/>
      <w:bookmarkEnd w:id="220"/>
      <w:bookmarkEnd w:id="2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61"/>
        <w:gridCol w:w="2117"/>
        <w:gridCol w:w="5318"/>
      </w:tblGrid>
      <w:tr w:rsidR="003B4FE0" w14:paraId="7D101314" w14:textId="77777777" w:rsidTr="00EA75CB">
        <w:trPr>
          <w:trHeight w:val="315"/>
        </w:trPr>
        <w:tc>
          <w:tcPr>
            <w:tcW w:w="51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9AFD5C" w14:textId="77777777" w:rsidR="003B4FE0" w:rsidRDefault="003B4FE0" w:rsidP="00EA75CB">
            <w:pPr>
              <w:jc w:val="center"/>
              <w:rPr>
                <w:rFonts w:ascii="宋体" w:hAnsi="宋体"/>
              </w:rPr>
            </w:pPr>
            <w:r>
              <w:rPr>
                <w:rFonts w:ascii="宋体" w:hAnsi="宋体" w:hint="eastAsia"/>
              </w:rPr>
              <w:t xml:space="preserve">序号 </w:t>
            </w:r>
          </w:p>
        </w:tc>
        <w:tc>
          <w:tcPr>
            <w:tcW w:w="127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F67B68" w14:textId="77777777" w:rsidR="003B4FE0" w:rsidRDefault="003B4FE0" w:rsidP="00EA75CB">
            <w:pPr>
              <w:jc w:val="center"/>
              <w:rPr>
                <w:rFonts w:ascii="宋体" w:hAnsi="宋体"/>
              </w:rPr>
            </w:pPr>
            <w:r>
              <w:rPr>
                <w:rFonts w:ascii="宋体" w:hAnsi="宋体" w:hint="eastAsia"/>
              </w:rPr>
              <w:t xml:space="preserve">名称 </w:t>
            </w:r>
          </w:p>
        </w:tc>
        <w:tc>
          <w:tcPr>
            <w:tcW w:w="320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E8F51C" w14:textId="77777777" w:rsidR="003B4FE0" w:rsidRDefault="003B4FE0" w:rsidP="00EA75CB">
            <w:pPr>
              <w:jc w:val="center"/>
            </w:pPr>
            <w:r>
              <w:rPr>
                <w:rFonts w:ascii="宋体" w:hAnsi="宋体" w:hint="eastAsia"/>
              </w:rPr>
              <w:t>金额（元）</w:t>
            </w:r>
            <w:r>
              <w:t xml:space="preserve"> </w:t>
            </w:r>
          </w:p>
        </w:tc>
      </w:tr>
      <w:tr w:rsidR="003B4FE0" w14:paraId="20B891CD"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CB8D349" w14:textId="77777777" w:rsidR="003B4FE0" w:rsidRDefault="003B4FE0" w:rsidP="00EA75CB">
            <w:pPr>
              <w:jc w:val="center"/>
              <w:rPr>
                <w:rFonts w:ascii="宋体" w:hAnsi="宋体"/>
              </w:rPr>
            </w:pPr>
            <w:r>
              <w:rPr>
                <w:rFonts w:ascii="宋体" w:hAnsi="宋体" w:hint="eastAsia"/>
              </w:rPr>
              <w:t xml:space="preserve">1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98E7C74" w14:textId="77777777" w:rsidR="003B4FE0" w:rsidRDefault="003B4FE0" w:rsidP="00EA75CB">
            <w:pPr>
              <w:jc w:val="left"/>
              <w:rPr>
                <w:rFonts w:ascii="宋体" w:hAnsi="宋体"/>
              </w:rPr>
            </w:pPr>
            <w:r>
              <w:rPr>
                <w:rFonts w:ascii="宋体" w:hAnsi="宋体" w:hint="eastAsia"/>
              </w:rPr>
              <w:t xml:space="preserve">存出保证金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A491507" w14:textId="77777777" w:rsidR="003B4FE0" w:rsidRDefault="003B4FE0" w:rsidP="00EA75CB">
            <w:pPr>
              <w:jc w:val="right"/>
            </w:pPr>
            <w:r>
              <w:rPr>
                <w:rFonts w:ascii="宋体" w:hAnsi="宋体" w:hint="eastAsia"/>
              </w:rPr>
              <w:t>10,915.41</w:t>
            </w:r>
          </w:p>
        </w:tc>
      </w:tr>
      <w:tr w:rsidR="003B4FE0" w14:paraId="7C0833FE"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3BE1A4C" w14:textId="77777777" w:rsidR="003B4FE0" w:rsidRDefault="003B4FE0" w:rsidP="00EA75CB">
            <w:pPr>
              <w:jc w:val="center"/>
              <w:rPr>
                <w:rFonts w:ascii="宋体" w:hAnsi="宋体"/>
              </w:rPr>
            </w:pPr>
            <w:r>
              <w:rPr>
                <w:rFonts w:ascii="宋体" w:hAnsi="宋体" w:hint="eastAsia"/>
              </w:rPr>
              <w:t xml:space="preserve">2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F03B1A0" w14:textId="77777777" w:rsidR="003B4FE0" w:rsidRDefault="003B4FE0" w:rsidP="00EA75CB">
            <w:pPr>
              <w:jc w:val="left"/>
              <w:rPr>
                <w:rFonts w:ascii="宋体" w:hAnsi="宋体"/>
              </w:rPr>
            </w:pPr>
            <w:r>
              <w:rPr>
                <w:rFonts w:ascii="宋体" w:hAnsi="宋体" w:hint="eastAsia"/>
              </w:rPr>
              <w:t xml:space="preserve">应收证券清算款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BC1FCB4" w14:textId="77777777" w:rsidR="003B4FE0" w:rsidRDefault="003B4FE0" w:rsidP="00EA75CB">
            <w:pPr>
              <w:jc w:val="right"/>
            </w:pPr>
            <w:r>
              <w:rPr>
                <w:rFonts w:ascii="宋体" w:hAnsi="宋体" w:hint="eastAsia"/>
              </w:rPr>
              <w:t>43,780.33</w:t>
            </w:r>
          </w:p>
        </w:tc>
      </w:tr>
      <w:tr w:rsidR="003B4FE0" w14:paraId="4C1BC8D8"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1BF96BA" w14:textId="77777777" w:rsidR="003B4FE0" w:rsidRDefault="003B4FE0" w:rsidP="00EA75CB">
            <w:pPr>
              <w:jc w:val="center"/>
              <w:rPr>
                <w:rFonts w:ascii="宋体" w:hAnsi="宋体"/>
              </w:rPr>
            </w:pPr>
            <w:r>
              <w:rPr>
                <w:rFonts w:ascii="宋体" w:hAnsi="宋体" w:hint="eastAsia"/>
              </w:rPr>
              <w:t xml:space="preserve">3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E06365D" w14:textId="77777777" w:rsidR="003B4FE0" w:rsidRDefault="003B4FE0" w:rsidP="00EA75CB">
            <w:pPr>
              <w:jc w:val="left"/>
              <w:rPr>
                <w:rFonts w:ascii="宋体" w:hAnsi="宋体"/>
              </w:rPr>
            </w:pPr>
            <w:r>
              <w:rPr>
                <w:rFonts w:ascii="宋体" w:hAnsi="宋体" w:hint="eastAsia"/>
              </w:rPr>
              <w:t xml:space="preserve">应收股利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F604AA1" w14:textId="77777777" w:rsidR="003B4FE0" w:rsidRDefault="003B4FE0" w:rsidP="00EA75CB">
            <w:pPr>
              <w:jc w:val="right"/>
            </w:pPr>
            <w:r>
              <w:rPr>
                <w:rFonts w:ascii="宋体" w:hAnsi="宋体" w:hint="eastAsia"/>
              </w:rPr>
              <w:t>-</w:t>
            </w:r>
          </w:p>
        </w:tc>
      </w:tr>
      <w:tr w:rsidR="003B4FE0" w14:paraId="51DE3F56"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0F4F5CF" w14:textId="77777777" w:rsidR="003B4FE0" w:rsidRDefault="003B4FE0" w:rsidP="00EA75CB">
            <w:pPr>
              <w:jc w:val="center"/>
              <w:rPr>
                <w:rFonts w:ascii="宋体" w:hAnsi="宋体"/>
              </w:rPr>
            </w:pPr>
            <w:r>
              <w:rPr>
                <w:rFonts w:ascii="宋体" w:hAnsi="宋体" w:hint="eastAsia"/>
              </w:rPr>
              <w:t xml:space="preserve">4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0870341" w14:textId="77777777" w:rsidR="003B4FE0" w:rsidRDefault="003B4FE0" w:rsidP="00EA75CB">
            <w:pPr>
              <w:jc w:val="left"/>
              <w:rPr>
                <w:rFonts w:ascii="宋体" w:hAnsi="宋体"/>
              </w:rPr>
            </w:pPr>
            <w:r>
              <w:rPr>
                <w:rFonts w:ascii="宋体" w:hAnsi="宋体" w:hint="eastAsia"/>
              </w:rPr>
              <w:t xml:space="preserve">应收利息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694B485" w14:textId="77777777" w:rsidR="003B4FE0" w:rsidRDefault="003B4FE0" w:rsidP="00EA75CB">
            <w:pPr>
              <w:jc w:val="right"/>
            </w:pPr>
            <w:r>
              <w:rPr>
                <w:rFonts w:ascii="宋体" w:hAnsi="宋体" w:hint="eastAsia"/>
              </w:rPr>
              <w:t>-</w:t>
            </w:r>
          </w:p>
        </w:tc>
      </w:tr>
      <w:tr w:rsidR="003B4FE0" w14:paraId="5451D1D1"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630AB18" w14:textId="77777777" w:rsidR="003B4FE0" w:rsidRDefault="003B4FE0" w:rsidP="00EA75CB">
            <w:pPr>
              <w:jc w:val="center"/>
              <w:rPr>
                <w:rFonts w:ascii="宋体" w:hAnsi="宋体"/>
              </w:rPr>
            </w:pPr>
            <w:r>
              <w:rPr>
                <w:rFonts w:ascii="宋体" w:hAnsi="宋体" w:hint="eastAsia"/>
              </w:rPr>
              <w:t xml:space="preserve">5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420A44B" w14:textId="77777777" w:rsidR="003B4FE0" w:rsidRDefault="003B4FE0" w:rsidP="00EA75CB">
            <w:pPr>
              <w:jc w:val="left"/>
              <w:rPr>
                <w:rFonts w:ascii="宋体" w:hAnsi="宋体"/>
              </w:rPr>
            </w:pPr>
            <w:r>
              <w:rPr>
                <w:rFonts w:ascii="宋体" w:hAnsi="宋体" w:hint="eastAsia"/>
              </w:rPr>
              <w:t xml:space="preserve">应收申购款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34B8C4B" w14:textId="77777777" w:rsidR="003B4FE0" w:rsidRDefault="003B4FE0" w:rsidP="00EA75CB">
            <w:pPr>
              <w:jc w:val="right"/>
            </w:pPr>
            <w:r>
              <w:rPr>
                <w:rFonts w:ascii="宋体" w:hAnsi="宋体" w:hint="eastAsia"/>
              </w:rPr>
              <w:t>447,648.99</w:t>
            </w:r>
          </w:p>
        </w:tc>
      </w:tr>
      <w:tr w:rsidR="003B4FE0" w14:paraId="6ED415D2"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1EB1E15" w14:textId="77777777" w:rsidR="003B4FE0" w:rsidRDefault="003B4FE0" w:rsidP="00EA75CB">
            <w:pPr>
              <w:jc w:val="center"/>
              <w:rPr>
                <w:rFonts w:ascii="宋体" w:hAnsi="宋体"/>
              </w:rPr>
            </w:pPr>
            <w:r>
              <w:rPr>
                <w:rFonts w:ascii="宋体" w:hAnsi="宋体" w:hint="eastAsia"/>
              </w:rPr>
              <w:t xml:space="preserve">6 </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3EDFFB2" w14:textId="77777777" w:rsidR="003B4FE0" w:rsidRDefault="003B4FE0" w:rsidP="00EA75CB">
            <w:pPr>
              <w:jc w:val="left"/>
              <w:rPr>
                <w:rFonts w:ascii="宋体" w:hAnsi="宋体"/>
              </w:rPr>
            </w:pPr>
            <w:r>
              <w:rPr>
                <w:rFonts w:ascii="宋体" w:hAnsi="宋体" w:hint="eastAsia"/>
              </w:rPr>
              <w:t xml:space="preserve">其他应收款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C771101" w14:textId="77777777" w:rsidR="003B4FE0" w:rsidRDefault="003B4FE0" w:rsidP="00EA75CB">
            <w:pPr>
              <w:jc w:val="right"/>
            </w:pPr>
            <w:r>
              <w:rPr>
                <w:rFonts w:ascii="宋体" w:hAnsi="宋体" w:hint="eastAsia"/>
              </w:rPr>
              <w:t>-</w:t>
            </w:r>
          </w:p>
        </w:tc>
      </w:tr>
      <w:tr w:rsidR="003B4FE0" w14:paraId="62C37ACE"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9561DE9" w14:textId="77777777" w:rsidR="003B4FE0" w:rsidRDefault="003B4FE0" w:rsidP="00EA75CB">
            <w:pPr>
              <w:jc w:val="center"/>
            </w:pPr>
            <w:r>
              <w:rPr>
                <w:rFonts w:ascii="宋体" w:hAnsi="宋体" w:hint="eastAsia"/>
              </w:rPr>
              <w:t>7</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7C660F7" w14:textId="77777777" w:rsidR="003B4FE0" w:rsidRDefault="003B4FE0" w:rsidP="00EA75CB">
            <w:pPr>
              <w:jc w:val="left"/>
              <w:rPr>
                <w:rFonts w:ascii="宋体" w:hAnsi="宋体"/>
              </w:rPr>
            </w:pPr>
            <w:r>
              <w:rPr>
                <w:rFonts w:ascii="宋体" w:hAnsi="宋体" w:hint="eastAsia"/>
              </w:rPr>
              <w:t xml:space="preserve">其他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082BE17" w14:textId="77777777" w:rsidR="003B4FE0" w:rsidRDefault="003B4FE0" w:rsidP="00EA75CB">
            <w:pPr>
              <w:jc w:val="right"/>
            </w:pPr>
            <w:r>
              <w:rPr>
                <w:rFonts w:ascii="宋体" w:hAnsi="宋体" w:hint="eastAsia"/>
              </w:rPr>
              <w:t>-</w:t>
            </w:r>
          </w:p>
        </w:tc>
      </w:tr>
      <w:tr w:rsidR="003B4FE0" w14:paraId="72F0E01A" w14:textId="77777777" w:rsidTr="00EA75CB">
        <w:trPr>
          <w:trHeight w:val="285"/>
        </w:trPr>
        <w:tc>
          <w:tcPr>
            <w:tcW w:w="519"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04B13D2" w14:textId="77777777" w:rsidR="003B4FE0" w:rsidRDefault="003B4FE0" w:rsidP="00EA75CB">
            <w:pPr>
              <w:jc w:val="center"/>
            </w:pPr>
            <w:r>
              <w:rPr>
                <w:rFonts w:ascii="宋体" w:hAnsi="宋体" w:hint="eastAsia"/>
              </w:rPr>
              <w:t>8</w:t>
            </w:r>
          </w:p>
        </w:tc>
        <w:tc>
          <w:tcPr>
            <w:tcW w:w="127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B4410BE" w14:textId="77777777" w:rsidR="003B4FE0" w:rsidRDefault="003B4FE0" w:rsidP="00EA75CB">
            <w:pPr>
              <w:rPr>
                <w:rFonts w:ascii="宋体" w:hAnsi="宋体"/>
              </w:rPr>
            </w:pPr>
            <w:r>
              <w:rPr>
                <w:rFonts w:ascii="宋体" w:hAnsi="宋体" w:hint="eastAsia"/>
              </w:rPr>
              <w:t xml:space="preserve">合计 </w:t>
            </w:r>
          </w:p>
        </w:tc>
        <w:tc>
          <w:tcPr>
            <w:tcW w:w="320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D431E5E" w14:textId="77777777" w:rsidR="003B4FE0" w:rsidRDefault="003B4FE0" w:rsidP="00EA75CB">
            <w:pPr>
              <w:jc w:val="right"/>
            </w:pPr>
            <w:r>
              <w:rPr>
                <w:rFonts w:ascii="宋体" w:hAnsi="宋体" w:hint="eastAsia"/>
              </w:rPr>
              <w:t>502,344.73</w:t>
            </w:r>
          </w:p>
        </w:tc>
      </w:tr>
    </w:tbl>
    <w:p w14:paraId="1DD22B20" w14:textId="77777777" w:rsidR="003B4FE0" w:rsidRDefault="003B4FE0" w:rsidP="003B4FE0">
      <w:pPr>
        <w:pStyle w:val="XBRLTitle3"/>
        <w:spacing w:before="156" w:after="156"/>
      </w:pPr>
      <w:bookmarkStart w:id="223" w:name="_Toc17898217"/>
      <w:bookmarkStart w:id="224" w:name="_Toc481075086"/>
      <w:bookmarkStart w:id="225" w:name="_Toc490050039"/>
      <w:bookmarkStart w:id="226" w:name="_Toc512519518"/>
      <w:bookmarkStart w:id="227" w:name="_Toc513295930"/>
      <w:bookmarkStart w:id="228" w:name="m510_03"/>
      <w:bookmarkEnd w:id="222"/>
      <w:r>
        <w:rPr>
          <w:rFonts w:hint="eastAsia"/>
        </w:rPr>
        <w:t>报告期末持有的处于转股期的可转换债券明细</w:t>
      </w:r>
      <w:bookmarkEnd w:id="223"/>
      <w:bookmarkEnd w:id="224"/>
      <w:bookmarkEnd w:id="225"/>
      <w:bookmarkEnd w:id="226"/>
      <w:bookmarkEnd w:id="227"/>
    </w:p>
    <w:p w14:paraId="22CD30D6" w14:textId="77777777" w:rsidR="003B4FE0" w:rsidRDefault="003B4FE0" w:rsidP="003B4FE0">
      <w:pPr>
        <w:spacing w:line="360" w:lineRule="auto"/>
        <w:ind w:firstLineChars="200" w:firstLine="420"/>
        <w:jc w:val="left"/>
        <w:rPr>
          <w:rFonts w:ascii="宋体" w:hAnsi="宋体"/>
        </w:rPr>
      </w:pPr>
      <w:r>
        <w:rPr>
          <w:rFonts w:ascii="宋体" w:hAnsi="宋体" w:hint="eastAsia"/>
        </w:rPr>
        <w:t xml:space="preserve">本基金本报告期末未持有处于转股期的可转换债券。 </w:t>
      </w:r>
    </w:p>
    <w:p w14:paraId="34D73CC9" w14:textId="77777777" w:rsidR="003B4FE0" w:rsidRDefault="003B4FE0" w:rsidP="003B4FE0">
      <w:pPr>
        <w:pStyle w:val="XBRLTitle3"/>
        <w:spacing w:before="156" w:after="156"/>
      </w:pPr>
      <w:bookmarkStart w:id="229" w:name="_Toc17898218"/>
      <w:bookmarkStart w:id="230" w:name="_Toc481075087"/>
      <w:bookmarkStart w:id="231" w:name="_Toc490050040"/>
      <w:bookmarkStart w:id="232" w:name="_Toc512519519"/>
      <w:bookmarkStart w:id="233" w:name="_Toc513295931"/>
      <w:bookmarkStart w:id="234" w:name="m510_04"/>
      <w:bookmarkEnd w:id="228"/>
      <w:r>
        <w:rPr>
          <w:rFonts w:hint="eastAsia"/>
        </w:rPr>
        <w:t>报告</w:t>
      </w:r>
      <w:proofErr w:type="gramStart"/>
      <w:r>
        <w:rPr>
          <w:rFonts w:hint="eastAsia"/>
        </w:rPr>
        <w:t>期末前</w:t>
      </w:r>
      <w:proofErr w:type="gramEnd"/>
      <w:r>
        <w:rPr>
          <w:rFonts w:hint="eastAsia"/>
        </w:rPr>
        <w:t>十名股票中存在流通受限情况的说明</w:t>
      </w:r>
      <w:bookmarkEnd w:id="229"/>
      <w:bookmarkEnd w:id="230"/>
      <w:bookmarkEnd w:id="231"/>
      <w:bookmarkEnd w:id="232"/>
      <w:bookmarkEnd w:id="233"/>
    </w:p>
    <w:p w14:paraId="4043C9F4" w14:textId="77777777" w:rsidR="003B4FE0" w:rsidRDefault="003B4FE0" w:rsidP="003B4FE0">
      <w:pPr>
        <w:spacing w:line="360" w:lineRule="auto"/>
        <w:ind w:firstLineChars="200" w:firstLine="420"/>
        <w:jc w:val="left"/>
      </w:pPr>
      <w:r>
        <w:rPr>
          <w:rFonts w:ascii="宋体" w:hAnsi="宋体" w:hint="eastAsia"/>
        </w:rPr>
        <w:t>本基金本报告期末未持有股票。</w:t>
      </w:r>
    </w:p>
    <w:p w14:paraId="03A774CE" w14:textId="77777777" w:rsidR="003B4FE0" w:rsidRDefault="003B4FE0" w:rsidP="003B4FE0">
      <w:pPr>
        <w:pStyle w:val="XBRLTitle3"/>
        <w:spacing w:before="156" w:after="156"/>
        <w:rPr>
          <w:sz w:val="21"/>
        </w:rPr>
      </w:pPr>
      <w:bookmarkStart w:id="235" w:name="_Toc17898219"/>
      <w:bookmarkStart w:id="236" w:name="_Toc512519520"/>
      <w:bookmarkStart w:id="237" w:name="_Toc481075088"/>
      <w:bookmarkStart w:id="238" w:name="_Toc490050041"/>
      <w:bookmarkStart w:id="239" w:name="_Toc513295932"/>
      <w:bookmarkStart w:id="240" w:name="m510_05_1678"/>
      <w:bookmarkEnd w:id="234"/>
      <w:r>
        <w:rPr>
          <w:rFonts w:hint="eastAsia"/>
        </w:rPr>
        <w:t>投资组合报告附注的其他文字描述部分</w:t>
      </w:r>
      <w:bookmarkEnd w:id="235"/>
      <w:bookmarkEnd w:id="236"/>
      <w:bookmarkEnd w:id="237"/>
      <w:bookmarkEnd w:id="238"/>
      <w:bookmarkEnd w:id="239"/>
      <w:r>
        <w:rPr>
          <w:rFonts w:hint="eastAsia"/>
          <w:sz w:val="21"/>
        </w:rPr>
        <w:t xml:space="preserve"> </w:t>
      </w:r>
    </w:p>
    <w:p w14:paraId="683F2AC0" w14:textId="37426BC0" w:rsidR="00706097" w:rsidRDefault="003B4FE0" w:rsidP="003B4FE0">
      <w:pPr>
        <w:spacing w:line="360" w:lineRule="auto"/>
        <w:ind w:firstLineChars="200" w:firstLine="420"/>
        <w:jc w:val="left"/>
        <w:rPr>
          <w:rFonts w:ascii="宋体" w:hAnsi="宋体"/>
        </w:rPr>
      </w:pPr>
      <w:r>
        <w:rPr>
          <w:rFonts w:ascii="宋体" w:hAnsi="宋体" w:hint="eastAsia"/>
        </w:rPr>
        <w:t>由于四舍五入的原因公允价值占基金资产净值的比例分项之和与合计可能有尾差。</w:t>
      </w:r>
      <w:bookmarkEnd w:id="240"/>
      <w:r>
        <w:rPr>
          <w:rFonts w:ascii="宋体" w:hAnsi="宋体" w:hint="eastAsia"/>
        </w:rPr>
        <w:t xml:space="preserve"> </w:t>
      </w:r>
    </w:p>
    <w:p w14:paraId="0A2C7095" w14:textId="77777777" w:rsidR="003B4FE0" w:rsidRPr="003B4FE0" w:rsidRDefault="003B4FE0" w:rsidP="003B4FE0">
      <w:pPr>
        <w:spacing w:line="360" w:lineRule="auto"/>
        <w:ind w:firstLineChars="200" w:firstLine="420"/>
        <w:jc w:val="left"/>
        <w:rPr>
          <w:rFonts w:ascii="宋体" w:hAnsi="宋体"/>
        </w:rPr>
      </w:pPr>
    </w:p>
    <w:p w14:paraId="5A57FC1D" w14:textId="77777777" w:rsidR="00706097" w:rsidRDefault="00DA6858">
      <w:pPr>
        <w:pStyle w:val="21"/>
        <w:numPr>
          <w:ilvl w:val="0"/>
          <w:numId w:val="28"/>
        </w:numPr>
        <w:tabs>
          <w:tab w:val="clear" w:pos="420"/>
          <w:tab w:val="left" w:pos="432"/>
        </w:tabs>
        <w:snapToGrid w:val="0"/>
        <w:spacing w:before="0" w:after="0" w:line="360" w:lineRule="auto"/>
        <w:jc w:val="left"/>
        <w:rPr>
          <w:rFonts w:ascii="宋体" w:eastAsia="宋体" w:hAnsi="宋体"/>
        </w:rPr>
      </w:pPr>
      <w:bookmarkStart w:id="241" w:name="_Toc76483022"/>
      <w:bookmarkStart w:id="242" w:name="_Toc10234"/>
      <w:bookmarkStart w:id="243" w:name="_Toc360794104"/>
      <w:bookmarkStart w:id="244" w:name="_Toc360793854"/>
      <w:bookmarkStart w:id="245" w:name="_Toc362533459"/>
      <w:bookmarkStart w:id="246" w:name="_Toc360794412"/>
      <w:bookmarkStart w:id="247" w:name="_Toc360793502"/>
      <w:bookmarkStart w:id="248" w:name="_Toc362455187"/>
      <w:bookmarkStart w:id="249" w:name="_Toc360794520"/>
      <w:bookmarkEnd w:id="94"/>
      <w:bookmarkEnd w:id="95"/>
      <w:r>
        <w:rPr>
          <w:rFonts w:ascii="宋体" w:eastAsia="宋体" w:hAnsi="宋体" w:hint="eastAsia"/>
        </w:rPr>
        <w:t>基金</w:t>
      </w:r>
      <w:r>
        <w:rPr>
          <w:rFonts w:ascii="宋体" w:eastAsia="宋体" w:hAnsi="宋体"/>
        </w:rPr>
        <w:t>的业绩</w:t>
      </w:r>
      <w:bookmarkEnd w:id="241"/>
      <w:bookmarkEnd w:id="242"/>
    </w:p>
    <w:p w14:paraId="7C6FC1BE" w14:textId="4D74802D" w:rsidR="00706097" w:rsidRDefault="00DA6858">
      <w:pPr>
        <w:spacing w:line="360" w:lineRule="auto"/>
        <w:ind w:firstLineChars="200" w:firstLine="440"/>
        <w:rPr>
          <w:rFonts w:ascii="宋体" w:hAnsi="宋体" w:cs="宋体"/>
          <w:bCs/>
          <w:sz w:val="22"/>
          <w:szCs w:val="22"/>
        </w:rPr>
      </w:pPr>
      <w:r>
        <w:rPr>
          <w:rFonts w:hint="eastAsia"/>
          <w:bCs/>
          <w:sz w:val="22"/>
          <w:szCs w:val="22"/>
        </w:rPr>
        <w:t>本基金管理人依照恪尽职守、诚实信用、谨慎勤勉的原则管理和运用基金财产</w:t>
      </w:r>
      <w:r>
        <w:rPr>
          <w:rFonts w:hint="eastAsia"/>
          <w:bCs/>
          <w:sz w:val="22"/>
          <w:szCs w:val="22"/>
        </w:rPr>
        <w:t>,</w:t>
      </w:r>
      <w:r>
        <w:rPr>
          <w:rFonts w:hint="eastAsia"/>
          <w:bCs/>
          <w:sz w:val="22"/>
          <w:szCs w:val="22"/>
        </w:rPr>
        <w:t>但不保证基金一定盈利</w:t>
      </w:r>
      <w:r>
        <w:rPr>
          <w:rFonts w:hint="eastAsia"/>
          <w:bCs/>
          <w:sz w:val="22"/>
          <w:szCs w:val="22"/>
        </w:rPr>
        <w:t>,</w:t>
      </w:r>
      <w:r>
        <w:rPr>
          <w:rFonts w:hint="eastAsia"/>
          <w:bCs/>
          <w:sz w:val="22"/>
          <w:szCs w:val="22"/>
        </w:rPr>
        <w:t>也不保证最低收益。基金的过往业绩并不代表其未来表现</w:t>
      </w:r>
      <w:r>
        <w:rPr>
          <w:rFonts w:ascii="宋体" w:hAnsi="宋体" w:cs="宋体" w:hint="eastAsia"/>
          <w:bCs/>
          <w:sz w:val="22"/>
          <w:szCs w:val="22"/>
        </w:rPr>
        <w:t>。投资有风险，投资者在做出投资决策前应仔细阅读本基金的招募说明书。</w:t>
      </w:r>
    </w:p>
    <w:p w14:paraId="09661AE3" w14:textId="77777777" w:rsidR="00317982" w:rsidRDefault="00317982">
      <w:pPr>
        <w:spacing w:line="360" w:lineRule="auto"/>
        <w:ind w:firstLineChars="200" w:firstLine="440"/>
        <w:rPr>
          <w:rFonts w:ascii="宋体" w:hAnsi="宋体" w:cs="宋体"/>
          <w:bCs/>
          <w:sz w:val="22"/>
          <w:szCs w:val="22"/>
        </w:rPr>
      </w:pPr>
    </w:p>
    <w:p w14:paraId="0665FA0D" w14:textId="6FCE03CB" w:rsidR="00317982" w:rsidRPr="00317982" w:rsidRDefault="00DA6858" w:rsidP="00317982">
      <w:pPr>
        <w:pStyle w:val="XBRLTitle3"/>
        <w:numPr>
          <w:ilvl w:val="0"/>
          <w:numId w:val="0"/>
        </w:numPr>
        <w:tabs>
          <w:tab w:val="left" w:pos="432"/>
        </w:tabs>
        <w:spacing w:beforeLines="0" w:afterLines="0" w:line="360" w:lineRule="auto"/>
        <w:rPr>
          <w:rFonts w:ascii="宋体" w:eastAsia="宋体" w:hAnsi="宋体" w:cs="宋体"/>
          <w:bCs w:val="0"/>
          <w:kern w:val="2"/>
          <w:sz w:val="21"/>
          <w:szCs w:val="21"/>
        </w:rPr>
      </w:pPr>
      <w:r>
        <w:rPr>
          <w:rFonts w:ascii="宋体" w:eastAsia="宋体" w:hAnsi="宋体" w:cs="宋体" w:hint="eastAsia"/>
          <w:bCs w:val="0"/>
          <w:kern w:val="2"/>
          <w:sz w:val="21"/>
          <w:szCs w:val="21"/>
        </w:rPr>
        <w:lastRenderedPageBreak/>
        <w:t>一、本基金份额净值增长率及其与同期业绩比较基准收益率的比较</w:t>
      </w:r>
    </w:p>
    <w:p w14:paraId="551E8367" w14:textId="77777777" w:rsidR="00706097" w:rsidRDefault="00DA6858">
      <w:pPr>
        <w:jc w:val="center"/>
        <w:rPr>
          <w:rFonts w:ascii="宋体" w:hAnsi="宋体"/>
          <w:sz w:val="24"/>
        </w:rPr>
      </w:pPr>
      <w:r>
        <w:rPr>
          <w:rFonts w:ascii="宋体" w:hAnsi="宋体" w:hint="eastAsia"/>
          <w:szCs w:val="21"/>
        </w:rPr>
        <w:t>东海</w:t>
      </w:r>
      <w:proofErr w:type="gramStart"/>
      <w:r>
        <w:rPr>
          <w:rFonts w:ascii="宋体" w:hAnsi="宋体" w:hint="eastAsia"/>
          <w:szCs w:val="21"/>
        </w:rPr>
        <w:t>祥苏短</w:t>
      </w:r>
      <w:proofErr w:type="gramEnd"/>
      <w:r>
        <w:rPr>
          <w:rFonts w:ascii="宋体" w:hAnsi="宋体" w:hint="eastAsia"/>
          <w:szCs w:val="21"/>
        </w:rPr>
        <w:t>债</w:t>
      </w:r>
      <w:r>
        <w:rPr>
          <w:rFonts w:ascii="宋体" w:hAnsi="宋体"/>
          <w:szCs w:val="21"/>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5"/>
        <w:gridCol w:w="870"/>
        <w:gridCol w:w="1058"/>
        <w:gridCol w:w="1282"/>
        <w:gridCol w:w="1592"/>
        <w:gridCol w:w="1033"/>
        <w:gridCol w:w="1096"/>
      </w:tblGrid>
      <w:tr w:rsidR="00706097" w14:paraId="1D910B4A" w14:textId="77777777" w:rsidTr="00C9237B">
        <w:tc>
          <w:tcPr>
            <w:tcW w:w="1365" w:type="dxa"/>
            <w:shd w:val="clear" w:color="auto" w:fill="D9D9D9"/>
            <w:vAlign w:val="center"/>
          </w:tcPr>
          <w:p w14:paraId="0EA3EC79" w14:textId="77777777" w:rsidR="00706097" w:rsidRDefault="00DA6858">
            <w:pPr>
              <w:jc w:val="center"/>
              <w:rPr>
                <w:rFonts w:ascii="宋体" w:hAnsi="宋体"/>
              </w:rPr>
            </w:pPr>
            <w:bookmarkStart w:id="250" w:name="m30201a_tab" w:colFirst="0" w:colLast="7"/>
            <w:r>
              <w:rPr>
                <w:rFonts w:ascii="宋体" w:hAnsi="宋体" w:hint="eastAsia"/>
              </w:rPr>
              <w:t>阶段</w:t>
            </w:r>
          </w:p>
        </w:tc>
        <w:tc>
          <w:tcPr>
            <w:tcW w:w="870" w:type="dxa"/>
            <w:shd w:val="clear" w:color="auto" w:fill="D9D9D9"/>
            <w:vAlign w:val="center"/>
          </w:tcPr>
          <w:p w14:paraId="41B3A092" w14:textId="77777777" w:rsidR="00706097" w:rsidRDefault="00DA6858">
            <w:pPr>
              <w:jc w:val="center"/>
              <w:rPr>
                <w:rFonts w:ascii="宋体" w:hAnsi="宋体"/>
              </w:rPr>
            </w:pPr>
            <w:r>
              <w:rPr>
                <w:rFonts w:ascii="宋体" w:hAnsi="宋体" w:hint="eastAsia"/>
              </w:rPr>
              <w:t>净值增长率①</w:t>
            </w:r>
          </w:p>
        </w:tc>
        <w:tc>
          <w:tcPr>
            <w:tcW w:w="1058" w:type="dxa"/>
            <w:shd w:val="clear" w:color="auto" w:fill="D9D9D9"/>
            <w:vAlign w:val="center"/>
          </w:tcPr>
          <w:p w14:paraId="2323C6E0" w14:textId="77777777" w:rsidR="00706097" w:rsidRDefault="00DA6858">
            <w:pPr>
              <w:jc w:val="center"/>
              <w:rPr>
                <w:rFonts w:ascii="宋体" w:hAnsi="宋体"/>
              </w:rPr>
            </w:pPr>
            <w:r>
              <w:rPr>
                <w:rFonts w:ascii="宋体" w:hAnsi="宋体" w:hint="eastAsia"/>
              </w:rPr>
              <w:t>净值增长率标准差②</w:t>
            </w:r>
          </w:p>
        </w:tc>
        <w:tc>
          <w:tcPr>
            <w:tcW w:w="1282" w:type="dxa"/>
            <w:shd w:val="clear" w:color="auto" w:fill="D9D9D9"/>
            <w:vAlign w:val="center"/>
          </w:tcPr>
          <w:p w14:paraId="2E913DF1" w14:textId="77777777" w:rsidR="00706097" w:rsidRDefault="00DA6858">
            <w:pPr>
              <w:jc w:val="center"/>
              <w:rPr>
                <w:rFonts w:ascii="宋体" w:hAnsi="宋体"/>
              </w:rPr>
            </w:pPr>
            <w:r>
              <w:rPr>
                <w:rFonts w:ascii="宋体" w:hAnsi="宋体" w:hint="eastAsia"/>
              </w:rPr>
              <w:t>业绩比较基准收益率③</w:t>
            </w:r>
          </w:p>
        </w:tc>
        <w:tc>
          <w:tcPr>
            <w:tcW w:w="1592" w:type="dxa"/>
            <w:shd w:val="clear" w:color="auto" w:fill="D9D9D9"/>
            <w:vAlign w:val="center"/>
          </w:tcPr>
          <w:p w14:paraId="150213BB" w14:textId="77777777" w:rsidR="00706097" w:rsidRDefault="00DA6858">
            <w:pPr>
              <w:jc w:val="center"/>
              <w:rPr>
                <w:rFonts w:ascii="宋体" w:hAnsi="宋体"/>
              </w:rPr>
            </w:pPr>
            <w:r>
              <w:rPr>
                <w:rFonts w:ascii="宋体" w:hAnsi="宋体" w:hint="eastAsia"/>
              </w:rPr>
              <w:t>业绩比较基准收益率标准差④</w:t>
            </w:r>
          </w:p>
        </w:tc>
        <w:tc>
          <w:tcPr>
            <w:tcW w:w="1033" w:type="dxa"/>
            <w:shd w:val="clear" w:color="auto" w:fill="D9D9D9"/>
            <w:vAlign w:val="center"/>
          </w:tcPr>
          <w:p w14:paraId="0BBBA3DC" w14:textId="77777777" w:rsidR="00706097" w:rsidRDefault="00DA6858">
            <w:pPr>
              <w:jc w:val="center"/>
              <w:rPr>
                <w:rFonts w:ascii="宋体" w:hAnsi="宋体"/>
              </w:rPr>
            </w:pPr>
            <w:r>
              <w:rPr>
                <w:rFonts w:ascii="宋体" w:hAnsi="宋体" w:hint="eastAsia"/>
              </w:rPr>
              <w:t>①－③</w:t>
            </w:r>
          </w:p>
        </w:tc>
        <w:tc>
          <w:tcPr>
            <w:tcW w:w="1096" w:type="dxa"/>
            <w:shd w:val="clear" w:color="auto" w:fill="D9D9D9"/>
            <w:vAlign w:val="center"/>
          </w:tcPr>
          <w:p w14:paraId="3889E7DE" w14:textId="77777777" w:rsidR="00706097" w:rsidRDefault="00DA6858">
            <w:pPr>
              <w:jc w:val="center"/>
              <w:rPr>
                <w:rFonts w:ascii="宋体" w:hAnsi="宋体"/>
              </w:rPr>
            </w:pPr>
            <w:r>
              <w:rPr>
                <w:rFonts w:ascii="宋体" w:hAnsi="宋体" w:hint="eastAsia"/>
              </w:rPr>
              <w:t>②－④</w:t>
            </w:r>
          </w:p>
        </w:tc>
      </w:tr>
      <w:tr w:rsidR="00706097" w14:paraId="1E6DBF30" w14:textId="77777777" w:rsidTr="00C9237B">
        <w:tc>
          <w:tcPr>
            <w:tcW w:w="1365" w:type="dxa"/>
            <w:vAlign w:val="center"/>
          </w:tcPr>
          <w:p w14:paraId="606ACEFA" w14:textId="77777777" w:rsidR="00706097" w:rsidRDefault="00DA6858">
            <w:pPr>
              <w:jc w:val="center"/>
              <w:rPr>
                <w:rFonts w:ascii="宋体" w:hAnsi="宋体"/>
              </w:rPr>
            </w:pPr>
            <w:r>
              <w:rPr>
                <w:rFonts w:ascii="宋体" w:hAnsi="宋体" w:hint="eastAsia"/>
              </w:rPr>
              <w:t>2020年3月12日至</w:t>
            </w:r>
            <w:r>
              <w:rPr>
                <w:rFonts w:ascii="宋体" w:hAnsi="宋体" w:cs="宋体"/>
                <w:szCs w:val="21"/>
              </w:rPr>
              <w:t>20</w:t>
            </w:r>
            <w:r>
              <w:rPr>
                <w:rFonts w:ascii="宋体" w:hAnsi="宋体" w:cs="宋体" w:hint="eastAsia"/>
                <w:szCs w:val="21"/>
              </w:rPr>
              <w:t>20年12月</w:t>
            </w:r>
            <w:r>
              <w:rPr>
                <w:rFonts w:ascii="宋体" w:hAnsi="宋体" w:cs="宋体"/>
                <w:szCs w:val="21"/>
              </w:rPr>
              <w:t>3</w:t>
            </w:r>
            <w:r>
              <w:rPr>
                <w:rFonts w:ascii="宋体" w:hAnsi="宋体" w:cs="宋体" w:hint="eastAsia"/>
                <w:szCs w:val="21"/>
              </w:rPr>
              <w:t>1日</w:t>
            </w:r>
          </w:p>
        </w:tc>
        <w:tc>
          <w:tcPr>
            <w:tcW w:w="870" w:type="dxa"/>
            <w:vAlign w:val="center"/>
          </w:tcPr>
          <w:p w14:paraId="7C933664" w14:textId="77777777" w:rsidR="00706097" w:rsidRDefault="00DA6858">
            <w:pPr>
              <w:jc w:val="center"/>
              <w:rPr>
                <w:rFonts w:ascii="宋体" w:hAnsi="宋体"/>
              </w:rPr>
            </w:pPr>
            <w:r>
              <w:rPr>
                <w:rFonts w:ascii="宋体" w:hAnsi="宋体"/>
              </w:rPr>
              <w:t>2.38%</w:t>
            </w:r>
          </w:p>
        </w:tc>
        <w:tc>
          <w:tcPr>
            <w:tcW w:w="1058" w:type="dxa"/>
            <w:vAlign w:val="center"/>
          </w:tcPr>
          <w:p w14:paraId="369A97E9" w14:textId="77777777" w:rsidR="00706097" w:rsidRDefault="00DA6858">
            <w:pPr>
              <w:jc w:val="center"/>
              <w:rPr>
                <w:rFonts w:ascii="宋体" w:hAnsi="宋体"/>
              </w:rPr>
            </w:pPr>
            <w:r>
              <w:rPr>
                <w:rFonts w:ascii="宋体" w:hAnsi="宋体"/>
              </w:rPr>
              <w:t>0.05%</w:t>
            </w:r>
          </w:p>
        </w:tc>
        <w:tc>
          <w:tcPr>
            <w:tcW w:w="1282" w:type="dxa"/>
            <w:vAlign w:val="center"/>
          </w:tcPr>
          <w:p w14:paraId="63C2899A" w14:textId="77777777" w:rsidR="00706097" w:rsidRDefault="00DA6858">
            <w:pPr>
              <w:jc w:val="center"/>
              <w:rPr>
                <w:rFonts w:ascii="宋体" w:hAnsi="宋体"/>
              </w:rPr>
            </w:pPr>
            <w:r>
              <w:rPr>
                <w:rFonts w:ascii="宋体" w:hAnsi="宋体"/>
              </w:rPr>
              <w:t>1.45%</w:t>
            </w:r>
          </w:p>
        </w:tc>
        <w:tc>
          <w:tcPr>
            <w:tcW w:w="1592" w:type="dxa"/>
            <w:vAlign w:val="center"/>
          </w:tcPr>
          <w:p w14:paraId="3925CF7C" w14:textId="77777777" w:rsidR="00706097" w:rsidRDefault="00DA6858">
            <w:pPr>
              <w:jc w:val="center"/>
              <w:rPr>
                <w:rFonts w:ascii="宋体" w:hAnsi="宋体"/>
              </w:rPr>
            </w:pPr>
            <w:r>
              <w:rPr>
                <w:rFonts w:ascii="宋体" w:hAnsi="宋体"/>
              </w:rPr>
              <w:t>0.01%</w:t>
            </w:r>
          </w:p>
        </w:tc>
        <w:tc>
          <w:tcPr>
            <w:tcW w:w="1033" w:type="dxa"/>
            <w:vAlign w:val="center"/>
          </w:tcPr>
          <w:p w14:paraId="7A958928" w14:textId="77777777" w:rsidR="00706097" w:rsidRDefault="00DA6858">
            <w:pPr>
              <w:jc w:val="center"/>
              <w:rPr>
                <w:rFonts w:ascii="宋体" w:hAnsi="宋体"/>
              </w:rPr>
            </w:pPr>
            <w:r>
              <w:rPr>
                <w:rFonts w:ascii="宋体" w:hAnsi="宋体"/>
              </w:rPr>
              <w:t>0.93%</w:t>
            </w:r>
          </w:p>
        </w:tc>
        <w:tc>
          <w:tcPr>
            <w:tcW w:w="1096" w:type="dxa"/>
            <w:vAlign w:val="center"/>
          </w:tcPr>
          <w:p w14:paraId="55BBBDD0" w14:textId="77777777" w:rsidR="00706097" w:rsidRDefault="00DA6858">
            <w:pPr>
              <w:jc w:val="center"/>
              <w:rPr>
                <w:rFonts w:ascii="宋体" w:hAnsi="宋体"/>
              </w:rPr>
            </w:pPr>
            <w:r>
              <w:rPr>
                <w:rFonts w:ascii="宋体" w:hAnsi="宋体"/>
              </w:rPr>
              <w:t>0.04%</w:t>
            </w:r>
          </w:p>
        </w:tc>
      </w:tr>
      <w:tr w:rsidR="00706097" w14:paraId="50AAB0D2" w14:textId="77777777" w:rsidTr="00C9237B">
        <w:tc>
          <w:tcPr>
            <w:tcW w:w="1365" w:type="dxa"/>
            <w:vAlign w:val="center"/>
          </w:tcPr>
          <w:p w14:paraId="734C5A1E" w14:textId="77777777" w:rsidR="00706097" w:rsidRDefault="00DA6858">
            <w:pPr>
              <w:jc w:val="center"/>
              <w:rPr>
                <w:rFonts w:ascii="宋体" w:hAnsi="宋体"/>
              </w:rPr>
            </w:pPr>
            <w:r>
              <w:rPr>
                <w:rFonts w:ascii="宋体" w:hAnsi="宋体" w:hint="eastAsia"/>
              </w:rPr>
              <w:t>2021年1月1日至</w:t>
            </w:r>
            <w:r>
              <w:rPr>
                <w:rFonts w:ascii="宋体" w:hAnsi="宋体" w:cs="宋体"/>
                <w:szCs w:val="21"/>
              </w:rPr>
              <w:t>20</w:t>
            </w:r>
            <w:r>
              <w:rPr>
                <w:rFonts w:ascii="宋体" w:hAnsi="宋体" w:cs="宋体" w:hint="eastAsia"/>
                <w:szCs w:val="21"/>
              </w:rPr>
              <w:t>21年12月</w:t>
            </w:r>
            <w:r>
              <w:rPr>
                <w:rFonts w:ascii="宋体" w:hAnsi="宋体" w:cs="宋体"/>
                <w:szCs w:val="21"/>
              </w:rPr>
              <w:t>3</w:t>
            </w:r>
            <w:r>
              <w:rPr>
                <w:rFonts w:ascii="宋体" w:hAnsi="宋体" w:cs="宋体" w:hint="eastAsia"/>
                <w:szCs w:val="21"/>
              </w:rPr>
              <w:t>1日</w:t>
            </w:r>
          </w:p>
        </w:tc>
        <w:tc>
          <w:tcPr>
            <w:tcW w:w="870" w:type="dxa"/>
            <w:vAlign w:val="center"/>
          </w:tcPr>
          <w:p w14:paraId="532A2E41" w14:textId="77777777" w:rsidR="00706097" w:rsidRDefault="00DA6858">
            <w:pPr>
              <w:jc w:val="center"/>
              <w:rPr>
                <w:rFonts w:ascii="宋体" w:hAnsi="宋体"/>
              </w:rPr>
            </w:pPr>
            <w:r>
              <w:rPr>
                <w:rFonts w:ascii="宋体" w:hAnsi="宋体"/>
              </w:rPr>
              <w:t>1.54%</w:t>
            </w:r>
          </w:p>
        </w:tc>
        <w:tc>
          <w:tcPr>
            <w:tcW w:w="1058" w:type="dxa"/>
            <w:vAlign w:val="center"/>
          </w:tcPr>
          <w:p w14:paraId="143D491C" w14:textId="77777777" w:rsidR="00706097" w:rsidRDefault="00DA6858">
            <w:pPr>
              <w:jc w:val="center"/>
              <w:rPr>
                <w:rFonts w:ascii="宋体" w:hAnsi="宋体"/>
              </w:rPr>
            </w:pPr>
            <w:r>
              <w:rPr>
                <w:rFonts w:ascii="宋体" w:hAnsi="宋体"/>
              </w:rPr>
              <w:t>0.05%</w:t>
            </w:r>
          </w:p>
        </w:tc>
        <w:tc>
          <w:tcPr>
            <w:tcW w:w="1282" w:type="dxa"/>
            <w:vAlign w:val="center"/>
          </w:tcPr>
          <w:p w14:paraId="0E2A7451" w14:textId="77777777" w:rsidR="00706097" w:rsidRDefault="00DA6858">
            <w:pPr>
              <w:jc w:val="center"/>
              <w:rPr>
                <w:rFonts w:ascii="宋体" w:hAnsi="宋体"/>
              </w:rPr>
            </w:pPr>
            <w:r>
              <w:rPr>
                <w:rFonts w:ascii="宋体" w:hAnsi="宋体"/>
              </w:rPr>
              <w:t>2.34%</w:t>
            </w:r>
          </w:p>
        </w:tc>
        <w:tc>
          <w:tcPr>
            <w:tcW w:w="1592" w:type="dxa"/>
            <w:vAlign w:val="center"/>
          </w:tcPr>
          <w:p w14:paraId="0DBD034C" w14:textId="77777777" w:rsidR="00706097" w:rsidRDefault="00DA6858">
            <w:pPr>
              <w:jc w:val="center"/>
              <w:rPr>
                <w:rFonts w:ascii="宋体" w:hAnsi="宋体"/>
              </w:rPr>
            </w:pPr>
            <w:r>
              <w:rPr>
                <w:rFonts w:ascii="宋体" w:hAnsi="宋体"/>
              </w:rPr>
              <w:t>0.01%</w:t>
            </w:r>
          </w:p>
        </w:tc>
        <w:tc>
          <w:tcPr>
            <w:tcW w:w="1033" w:type="dxa"/>
            <w:vAlign w:val="center"/>
          </w:tcPr>
          <w:p w14:paraId="2734331B" w14:textId="77777777" w:rsidR="00706097" w:rsidRDefault="00DA6858">
            <w:pPr>
              <w:jc w:val="center"/>
              <w:rPr>
                <w:rFonts w:ascii="宋体" w:hAnsi="宋体"/>
              </w:rPr>
            </w:pPr>
            <w:r>
              <w:rPr>
                <w:rFonts w:ascii="宋体" w:hAnsi="宋体"/>
              </w:rPr>
              <w:t>-0.80%</w:t>
            </w:r>
          </w:p>
        </w:tc>
        <w:tc>
          <w:tcPr>
            <w:tcW w:w="1096" w:type="dxa"/>
            <w:vAlign w:val="center"/>
          </w:tcPr>
          <w:p w14:paraId="18996B00" w14:textId="77777777" w:rsidR="00706097" w:rsidRDefault="00DA6858">
            <w:pPr>
              <w:jc w:val="center"/>
              <w:rPr>
                <w:rFonts w:ascii="宋体" w:hAnsi="宋体"/>
              </w:rPr>
            </w:pPr>
            <w:r>
              <w:rPr>
                <w:rFonts w:ascii="宋体" w:hAnsi="宋体"/>
              </w:rPr>
              <w:t>0.04%</w:t>
            </w:r>
          </w:p>
        </w:tc>
      </w:tr>
      <w:tr w:rsidR="00C9237B" w14:paraId="5B2F0EBC" w14:textId="77777777" w:rsidTr="00C9237B">
        <w:tc>
          <w:tcPr>
            <w:tcW w:w="1365" w:type="dxa"/>
            <w:vAlign w:val="center"/>
          </w:tcPr>
          <w:p w14:paraId="26D31012" w14:textId="78115615" w:rsidR="00C9237B" w:rsidRDefault="00C9237B" w:rsidP="00C9237B">
            <w:pPr>
              <w:jc w:val="center"/>
              <w:rPr>
                <w:rFonts w:ascii="宋体" w:hAnsi="宋体"/>
              </w:rPr>
            </w:pPr>
            <w:r>
              <w:rPr>
                <w:rFonts w:ascii="宋体" w:hAnsi="宋体" w:hint="eastAsia"/>
              </w:rPr>
              <w:t>202</w:t>
            </w:r>
            <w:r>
              <w:rPr>
                <w:rFonts w:ascii="宋体" w:hAnsi="宋体"/>
              </w:rPr>
              <w:t>2</w:t>
            </w:r>
            <w:r>
              <w:rPr>
                <w:rFonts w:ascii="宋体" w:hAnsi="宋体" w:hint="eastAsia"/>
              </w:rPr>
              <w:t>年1月1日至</w:t>
            </w:r>
            <w:r>
              <w:rPr>
                <w:rFonts w:ascii="宋体" w:hAnsi="宋体" w:cs="宋体"/>
                <w:szCs w:val="21"/>
              </w:rPr>
              <w:t>2022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70" w:type="dxa"/>
            <w:vAlign w:val="center"/>
          </w:tcPr>
          <w:p w14:paraId="0A1C551D" w14:textId="018DCABB" w:rsidR="00C9237B" w:rsidRDefault="00C9237B" w:rsidP="00C9237B">
            <w:pPr>
              <w:jc w:val="center"/>
              <w:rPr>
                <w:rFonts w:ascii="宋体" w:hAnsi="宋体"/>
              </w:rPr>
            </w:pPr>
            <w:r>
              <w:rPr>
                <w:rFonts w:ascii="宋体" w:hAnsi="宋体" w:hint="eastAsia"/>
              </w:rPr>
              <w:t>3.48</w:t>
            </w:r>
            <w:r w:rsidRPr="00C9237B">
              <w:rPr>
                <w:rFonts w:ascii="宋体" w:hAnsi="宋体"/>
              </w:rPr>
              <w:t xml:space="preserve">% </w:t>
            </w:r>
          </w:p>
        </w:tc>
        <w:tc>
          <w:tcPr>
            <w:tcW w:w="1058" w:type="dxa"/>
            <w:vAlign w:val="center"/>
          </w:tcPr>
          <w:p w14:paraId="7BF9F374" w14:textId="37A7065B" w:rsidR="00C9237B" w:rsidRDefault="00C9237B" w:rsidP="00C9237B">
            <w:pPr>
              <w:jc w:val="center"/>
              <w:rPr>
                <w:rFonts w:ascii="宋体" w:hAnsi="宋体"/>
              </w:rPr>
            </w:pPr>
            <w:r>
              <w:rPr>
                <w:rFonts w:ascii="宋体" w:hAnsi="宋体" w:hint="eastAsia"/>
              </w:rPr>
              <w:t>0.02</w:t>
            </w:r>
            <w:r w:rsidRPr="00C9237B">
              <w:rPr>
                <w:rFonts w:ascii="宋体" w:hAnsi="宋体"/>
              </w:rPr>
              <w:t xml:space="preserve">% </w:t>
            </w:r>
          </w:p>
        </w:tc>
        <w:tc>
          <w:tcPr>
            <w:tcW w:w="1282" w:type="dxa"/>
            <w:vAlign w:val="center"/>
          </w:tcPr>
          <w:p w14:paraId="3EFD92A4" w14:textId="1DABA129" w:rsidR="00C9237B" w:rsidRDefault="00C9237B" w:rsidP="00C9237B">
            <w:pPr>
              <w:jc w:val="center"/>
              <w:rPr>
                <w:rFonts w:ascii="宋体" w:hAnsi="宋体"/>
              </w:rPr>
            </w:pPr>
            <w:r>
              <w:rPr>
                <w:rFonts w:ascii="宋体" w:hAnsi="宋体" w:hint="eastAsia"/>
              </w:rPr>
              <w:t>1.94</w:t>
            </w:r>
            <w:r w:rsidRPr="00C9237B">
              <w:rPr>
                <w:rFonts w:ascii="宋体" w:hAnsi="宋体"/>
              </w:rPr>
              <w:t>%</w:t>
            </w:r>
            <w:r>
              <w:rPr>
                <w:rFonts w:ascii="宋体" w:hAnsi="宋体" w:hint="eastAsia"/>
              </w:rPr>
              <w:t xml:space="preserve"> </w:t>
            </w:r>
          </w:p>
        </w:tc>
        <w:tc>
          <w:tcPr>
            <w:tcW w:w="1592" w:type="dxa"/>
            <w:vAlign w:val="center"/>
          </w:tcPr>
          <w:p w14:paraId="20EF6DD4" w14:textId="5C526780"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c>
          <w:tcPr>
            <w:tcW w:w="1033" w:type="dxa"/>
            <w:vAlign w:val="center"/>
          </w:tcPr>
          <w:p w14:paraId="1C552619" w14:textId="60598FE3" w:rsidR="00C9237B" w:rsidRDefault="00C9237B" w:rsidP="00C9237B">
            <w:pPr>
              <w:jc w:val="center"/>
              <w:rPr>
                <w:rFonts w:ascii="宋体" w:hAnsi="宋体"/>
              </w:rPr>
            </w:pPr>
            <w:r>
              <w:rPr>
                <w:rFonts w:ascii="宋体" w:hAnsi="宋体" w:hint="eastAsia"/>
              </w:rPr>
              <w:t>1.54</w:t>
            </w:r>
            <w:r w:rsidRPr="00C9237B">
              <w:rPr>
                <w:rFonts w:ascii="宋体" w:hAnsi="宋体"/>
              </w:rPr>
              <w:t xml:space="preserve">% </w:t>
            </w:r>
          </w:p>
        </w:tc>
        <w:tc>
          <w:tcPr>
            <w:tcW w:w="1096" w:type="dxa"/>
            <w:vAlign w:val="center"/>
          </w:tcPr>
          <w:p w14:paraId="09A35CE2" w14:textId="66F1D101"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r>
      <w:tr w:rsidR="00C9237B" w14:paraId="52495F45" w14:textId="77777777" w:rsidTr="00C9237B">
        <w:tc>
          <w:tcPr>
            <w:tcW w:w="1365" w:type="dxa"/>
            <w:vAlign w:val="center"/>
          </w:tcPr>
          <w:p w14:paraId="3F4E4F9E" w14:textId="1326C2BF" w:rsidR="00C9237B" w:rsidRDefault="00C9237B" w:rsidP="00C9237B">
            <w:pPr>
              <w:jc w:val="center"/>
              <w:rPr>
                <w:rFonts w:ascii="宋体" w:hAnsi="宋体"/>
              </w:rPr>
            </w:pPr>
            <w:r>
              <w:rPr>
                <w:rFonts w:ascii="宋体" w:hAnsi="宋体" w:hint="eastAsia"/>
              </w:rPr>
              <w:t>2020年3月12日至</w:t>
            </w:r>
            <w:r>
              <w:rPr>
                <w:rFonts w:ascii="宋体" w:hAnsi="宋体" w:cs="宋体"/>
                <w:szCs w:val="21"/>
              </w:rPr>
              <w:t>20</w:t>
            </w:r>
            <w:r>
              <w:rPr>
                <w:rFonts w:ascii="宋体" w:hAnsi="宋体" w:cs="宋体" w:hint="eastAsia"/>
                <w:szCs w:val="21"/>
              </w:rPr>
              <w:t>2</w:t>
            </w:r>
            <w:r>
              <w:rPr>
                <w:rFonts w:ascii="宋体" w:hAnsi="宋体" w:cs="宋体"/>
                <w:szCs w:val="21"/>
              </w:rPr>
              <w:t>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70" w:type="dxa"/>
            <w:vAlign w:val="center"/>
          </w:tcPr>
          <w:p w14:paraId="3A512662" w14:textId="43DE0E19" w:rsidR="00C9237B" w:rsidRDefault="00C9237B" w:rsidP="00C9237B">
            <w:pPr>
              <w:jc w:val="center"/>
              <w:rPr>
                <w:rFonts w:ascii="宋体" w:hAnsi="宋体"/>
              </w:rPr>
            </w:pPr>
            <w:r>
              <w:rPr>
                <w:rFonts w:ascii="宋体" w:hAnsi="宋体" w:hint="eastAsia"/>
              </w:rPr>
              <w:t>7.58</w:t>
            </w:r>
            <w:r w:rsidRPr="00C9237B">
              <w:rPr>
                <w:rFonts w:ascii="宋体" w:hAnsi="宋体"/>
              </w:rPr>
              <w:t xml:space="preserve">% </w:t>
            </w:r>
          </w:p>
        </w:tc>
        <w:tc>
          <w:tcPr>
            <w:tcW w:w="1058" w:type="dxa"/>
            <w:vAlign w:val="center"/>
          </w:tcPr>
          <w:p w14:paraId="563A4A1A" w14:textId="122E88A4" w:rsidR="00C9237B" w:rsidRDefault="00C9237B" w:rsidP="00C9237B">
            <w:pPr>
              <w:jc w:val="center"/>
              <w:rPr>
                <w:rFonts w:ascii="宋体" w:hAnsi="宋体"/>
              </w:rPr>
            </w:pPr>
            <w:r>
              <w:rPr>
                <w:rFonts w:ascii="宋体" w:hAnsi="宋体" w:hint="eastAsia"/>
              </w:rPr>
              <w:t>0.04</w:t>
            </w:r>
            <w:r w:rsidRPr="00C9237B">
              <w:rPr>
                <w:rFonts w:ascii="宋体" w:hAnsi="宋体"/>
              </w:rPr>
              <w:t xml:space="preserve">% </w:t>
            </w:r>
          </w:p>
        </w:tc>
        <w:tc>
          <w:tcPr>
            <w:tcW w:w="1282" w:type="dxa"/>
            <w:vAlign w:val="center"/>
          </w:tcPr>
          <w:p w14:paraId="1539B2BF" w14:textId="1CF43125" w:rsidR="00C9237B" w:rsidRDefault="00C9237B" w:rsidP="00C9237B">
            <w:pPr>
              <w:jc w:val="center"/>
              <w:rPr>
                <w:rFonts w:ascii="宋体" w:hAnsi="宋体"/>
              </w:rPr>
            </w:pPr>
            <w:r>
              <w:rPr>
                <w:rFonts w:ascii="宋体" w:hAnsi="宋体" w:hint="eastAsia"/>
              </w:rPr>
              <w:t>5.84</w:t>
            </w:r>
            <w:r w:rsidRPr="00C9237B">
              <w:rPr>
                <w:rFonts w:ascii="宋体" w:hAnsi="宋体"/>
              </w:rPr>
              <w:t>%</w:t>
            </w:r>
            <w:r>
              <w:rPr>
                <w:rFonts w:ascii="宋体" w:hAnsi="宋体" w:hint="eastAsia"/>
              </w:rPr>
              <w:t xml:space="preserve"> </w:t>
            </w:r>
          </w:p>
        </w:tc>
        <w:tc>
          <w:tcPr>
            <w:tcW w:w="1592" w:type="dxa"/>
            <w:vAlign w:val="center"/>
          </w:tcPr>
          <w:p w14:paraId="618B010F" w14:textId="3881ACD4"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c>
          <w:tcPr>
            <w:tcW w:w="1033" w:type="dxa"/>
            <w:vAlign w:val="center"/>
          </w:tcPr>
          <w:p w14:paraId="2CB474B7" w14:textId="076C77B1" w:rsidR="00C9237B" w:rsidRDefault="00C9237B" w:rsidP="00C9237B">
            <w:pPr>
              <w:jc w:val="center"/>
              <w:rPr>
                <w:rFonts w:ascii="宋体" w:hAnsi="宋体"/>
              </w:rPr>
            </w:pPr>
            <w:r>
              <w:rPr>
                <w:rFonts w:ascii="宋体" w:hAnsi="宋体" w:hint="eastAsia"/>
              </w:rPr>
              <w:t>1.74</w:t>
            </w:r>
            <w:r w:rsidRPr="00C9237B">
              <w:rPr>
                <w:rFonts w:ascii="宋体" w:hAnsi="宋体"/>
              </w:rPr>
              <w:t xml:space="preserve">% </w:t>
            </w:r>
          </w:p>
        </w:tc>
        <w:tc>
          <w:tcPr>
            <w:tcW w:w="1096" w:type="dxa"/>
            <w:vAlign w:val="center"/>
          </w:tcPr>
          <w:p w14:paraId="21EE6946" w14:textId="7C0FE606" w:rsidR="00C9237B" w:rsidRDefault="00C9237B" w:rsidP="00C9237B">
            <w:pPr>
              <w:jc w:val="center"/>
              <w:rPr>
                <w:rFonts w:ascii="宋体" w:hAnsi="宋体"/>
              </w:rPr>
            </w:pPr>
            <w:r>
              <w:rPr>
                <w:rFonts w:ascii="宋体" w:hAnsi="宋体" w:hint="eastAsia"/>
              </w:rPr>
              <w:t>0.03</w:t>
            </w:r>
            <w:r w:rsidRPr="00C9237B">
              <w:rPr>
                <w:rFonts w:ascii="宋体" w:hAnsi="宋体"/>
              </w:rPr>
              <w:t xml:space="preserve">% </w:t>
            </w:r>
          </w:p>
        </w:tc>
      </w:tr>
    </w:tbl>
    <w:bookmarkEnd w:id="250"/>
    <w:p w14:paraId="63D8C6C9" w14:textId="77777777" w:rsidR="00706097" w:rsidRDefault="00DA6858">
      <w:pPr>
        <w:jc w:val="center"/>
        <w:rPr>
          <w:rFonts w:ascii="宋体" w:hAnsi="宋体"/>
          <w:sz w:val="24"/>
        </w:rPr>
      </w:pPr>
      <w:r>
        <w:rPr>
          <w:rFonts w:ascii="宋体" w:hAnsi="宋体" w:hint="eastAsia"/>
          <w:szCs w:val="21"/>
        </w:rPr>
        <w:t>东海</w:t>
      </w:r>
      <w:proofErr w:type="gramStart"/>
      <w:r>
        <w:rPr>
          <w:rFonts w:ascii="宋体" w:hAnsi="宋体" w:hint="eastAsia"/>
          <w:szCs w:val="21"/>
        </w:rPr>
        <w:t>祥苏短</w:t>
      </w:r>
      <w:proofErr w:type="gramEnd"/>
      <w:r>
        <w:rPr>
          <w:rFonts w:ascii="宋体" w:hAnsi="宋体" w:hint="eastAsia"/>
          <w:szCs w:val="21"/>
        </w:rPr>
        <w:t>债</w:t>
      </w:r>
      <w:r>
        <w:rPr>
          <w:rFonts w:ascii="宋体" w:hAnsi="宋体"/>
          <w:szCs w:val="21"/>
        </w:rPr>
        <w:t>C</w:t>
      </w:r>
    </w:p>
    <w:tbl>
      <w:tblPr>
        <w:tblW w:w="8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811"/>
        <w:gridCol w:w="1117"/>
        <w:gridCol w:w="1285"/>
        <w:gridCol w:w="1622"/>
        <w:gridCol w:w="1087"/>
        <w:gridCol w:w="1117"/>
      </w:tblGrid>
      <w:tr w:rsidR="00706097" w14:paraId="33862EAA" w14:textId="77777777" w:rsidTr="00C9237B">
        <w:tc>
          <w:tcPr>
            <w:tcW w:w="1486" w:type="dxa"/>
            <w:shd w:val="clear" w:color="auto" w:fill="D9D9D9"/>
            <w:vAlign w:val="center"/>
          </w:tcPr>
          <w:p w14:paraId="0E4EFC5E" w14:textId="77777777" w:rsidR="00706097" w:rsidRDefault="00DA6858">
            <w:pPr>
              <w:jc w:val="center"/>
              <w:rPr>
                <w:rFonts w:ascii="宋体" w:hAnsi="宋体"/>
              </w:rPr>
            </w:pPr>
            <w:bookmarkStart w:id="251" w:name="m30201b_tab" w:colFirst="0" w:colLast="7"/>
            <w:r>
              <w:rPr>
                <w:rFonts w:ascii="宋体" w:hAnsi="宋体" w:hint="eastAsia"/>
              </w:rPr>
              <w:t>阶段</w:t>
            </w:r>
          </w:p>
        </w:tc>
        <w:tc>
          <w:tcPr>
            <w:tcW w:w="811" w:type="dxa"/>
            <w:shd w:val="clear" w:color="auto" w:fill="D9D9D9"/>
            <w:vAlign w:val="center"/>
          </w:tcPr>
          <w:p w14:paraId="0734527B" w14:textId="77777777" w:rsidR="00706097" w:rsidRDefault="00DA6858">
            <w:pPr>
              <w:jc w:val="center"/>
              <w:rPr>
                <w:rFonts w:ascii="宋体" w:hAnsi="宋体"/>
              </w:rPr>
            </w:pPr>
            <w:r>
              <w:rPr>
                <w:rFonts w:ascii="宋体" w:hAnsi="宋体" w:hint="eastAsia"/>
              </w:rPr>
              <w:t>净值增长率①</w:t>
            </w:r>
          </w:p>
        </w:tc>
        <w:tc>
          <w:tcPr>
            <w:tcW w:w="1117" w:type="dxa"/>
            <w:shd w:val="clear" w:color="auto" w:fill="D9D9D9"/>
            <w:vAlign w:val="center"/>
          </w:tcPr>
          <w:p w14:paraId="7D4CF23A" w14:textId="77777777" w:rsidR="00706097" w:rsidRDefault="00DA6858">
            <w:pPr>
              <w:jc w:val="center"/>
              <w:rPr>
                <w:rFonts w:ascii="宋体" w:hAnsi="宋体"/>
              </w:rPr>
            </w:pPr>
            <w:r>
              <w:rPr>
                <w:rFonts w:ascii="宋体" w:hAnsi="宋体" w:hint="eastAsia"/>
              </w:rPr>
              <w:t>净值增长率标准差②</w:t>
            </w:r>
          </w:p>
        </w:tc>
        <w:tc>
          <w:tcPr>
            <w:tcW w:w="1285" w:type="dxa"/>
            <w:shd w:val="clear" w:color="auto" w:fill="D9D9D9"/>
            <w:vAlign w:val="center"/>
          </w:tcPr>
          <w:p w14:paraId="0BF58818" w14:textId="77777777" w:rsidR="00706097" w:rsidRDefault="00DA6858">
            <w:pPr>
              <w:jc w:val="center"/>
              <w:rPr>
                <w:rFonts w:ascii="宋体" w:hAnsi="宋体"/>
              </w:rPr>
            </w:pPr>
            <w:r>
              <w:rPr>
                <w:rFonts w:ascii="宋体" w:hAnsi="宋体" w:hint="eastAsia"/>
              </w:rPr>
              <w:t>业绩比较基准收益率③</w:t>
            </w:r>
          </w:p>
        </w:tc>
        <w:tc>
          <w:tcPr>
            <w:tcW w:w="1622" w:type="dxa"/>
            <w:shd w:val="clear" w:color="auto" w:fill="D9D9D9"/>
            <w:vAlign w:val="center"/>
          </w:tcPr>
          <w:p w14:paraId="6572BF48" w14:textId="77777777" w:rsidR="00706097" w:rsidRDefault="00DA6858">
            <w:pPr>
              <w:jc w:val="center"/>
              <w:rPr>
                <w:rFonts w:ascii="宋体" w:hAnsi="宋体"/>
              </w:rPr>
            </w:pPr>
            <w:r>
              <w:rPr>
                <w:rFonts w:ascii="宋体" w:hAnsi="宋体" w:hint="eastAsia"/>
              </w:rPr>
              <w:t>业绩比较基准收益率标准差④</w:t>
            </w:r>
          </w:p>
        </w:tc>
        <w:tc>
          <w:tcPr>
            <w:tcW w:w="1087" w:type="dxa"/>
            <w:shd w:val="clear" w:color="auto" w:fill="D9D9D9"/>
            <w:vAlign w:val="center"/>
          </w:tcPr>
          <w:p w14:paraId="7E2120B1" w14:textId="77777777" w:rsidR="00706097" w:rsidRDefault="00DA6858">
            <w:pPr>
              <w:jc w:val="center"/>
              <w:rPr>
                <w:rFonts w:ascii="宋体" w:hAnsi="宋体"/>
              </w:rPr>
            </w:pPr>
            <w:r>
              <w:rPr>
                <w:rFonts w:ascii="宋体" w:hAnsi="宋体" w:hint="eastAsia"/>
              </w:rPr>
              <w:t>①－③</w:t>
            </w:r>
          </w:p>
        </w:tc>
        <w:tc>
          <w:tcPr>
            <w:tcW w:w="1117" w:type="dxa"/>
            <w:shd w:val="clear" w:color="auto" w:fill="D9D9D9"/>
            <w:vAlign w:val="center"/>
          </w:tcPr>
          <w:p w14:paraId="57F029F3" w14:textId="77777777" w:rsidR="00706097" w:rsidRDefault="00DA6858">
            <w:pPr>
              <w:jc w:val="center"/>
              <w:rPr>
                <w:rFonts w:ascii="宋体" w:hAnsi="宋体"/>
              </w:rPr>
            </w:pPr>
            <w:r>
              <w:rPr>
                <w:rFonts w:ascii="宋体" w:hAnsi="宋体" w:hint="eastAsia"/>
              </w:rPr>
              <w:t>②－④</w:t>
            </w:r>
          </w:p>
        </w:tc>
      </w:tr>
      <w:tr w:rsidR="00706097" w14:paraId="0DA60C12" w14:textId="77777777" w:rsidTr="00C9237B">
        <w:tc>
          <w:tcPr>
            <w:tcW w:w="1486" w:type="dxa"/>
            <w:vAlign w:val="center"/>
          </w:tcPr>
          <w:p w14:paraId="3DB8EC00" w14:textId="77777777" w:rsidR="00706097" w:rsidRDefault="00DA6858">
            <w:pPr>
              <w:jc w:val="center"/>
              <w:rPr>
                <w:rFonts w:ascii="宋体" w:hAnsi="宋体"/>
              </w:rPr>
            </w:pPr>
            <w:r>
              <w:rPr>
                <w:rFonts w:ascii="宋体" w:hAnsi="宋体" w:hint="eastAsia"/>
              </w:rPr>
              <w:t>2020年3月12日至</w:t>
            </w:r>
            <w:r>
              <w:rPr>
                <w:rFonts w:ascii="宋体" w:hAnsi="宋体" w:cs="宋体"/>
                <w:szCs w:val="21"/>
              </w:rPr>
              <w:t>20</w:t>
            </w:r>
            <w:r>
              <w:rPr>
                <w:rFonts w:ascii="宋体" w:hAnsi="宋体" w:cs="宋体" w:hint="eastAsia"/>
                <w:szCs w:val="21"/>
              </w:rPr>
              <w:t>20年12月</w:t>
            </w:r>
            <w:r>
              <w:rPr>
                <w:rFonts w:ascii="宋体" w:hAnsi="宋体" w:cs="宋体"/>
                <w:szCs w:val="21"/>
              </w:rPr>
              <w:t>3</w:t>
            </w:r>
            <w:r>
              <w:rPr>
                <w:rFonts w:ascii="宋体" w:hAnsi="宋体" w:cs="宋体" w:hint="eastAsia"/>
                <w:szCs w:val="21"/>
              </w:rPr>
              <w:t>1日</w:t>
            </w:r>
          </w:p>
        </w:tc>
        <w:tc>
          <w:tcPr>
            <w:tcW w:w="811" w:type="dxa"/>
            <w:vAlign w:val="center"/>
          </w:tcPr>
          <w:p w14:paraId="7A429756" w14:textId="77777777" w:rsidR="00706097" w:rsidRDefault="00DA6858">
            <w:pPr>
              <w:jc w:val="center"/>
              <w:rPr>
                <w:rFonts w:ascii="宋体" w:hAnsi="宋体"/>
              </w:rPr>
            </w:pPr>
            <w:r>
              <w:rPr>
                <w:rFonts w:ascii="宋体" w:hAnsi="宋体"/>
              </w:rPr>
              <w:t>2.13%</w:t>
            </w:r>
          </w:p>
        </w:tc>
        <w:tc>
          <w:tcPr>
            <w:tcW w:w="1117" w:type="dxa"/>
            <w:vAlign w:val="center"/>
          </w:tcPr>
          <w:p w14:paraId="67B4A830" w14:textId="77777777" w:rsidR="00706097" w:rsidRDefault="00DA6858">
            <w:pPr>
              <w:jc w:val="center"/>
              <w:rPr>
                <w:rFonts w:ascii="宋体" w:hAnsi="宋体"/>
              </w:rPr>
            </w:pPr>
            <w:r>
              <w:rPr>
                <w:rFonts w:ascii="宋体" w:hAnsi="宋体"/>
              </w:rPr>
              <w:t>0.05%</w:t>
            </w:r>
          </w:p>
        </w:tc>
        <w:tc>
          <w:tcPr>
            <w:tcW w:w="1285" w:type="dxa"/>
            <w:vAlign w:val="center"/>
          </w:tcPr>
          <w:p w14:paraId="18A533A6" w14:textId="77777777" w:rsidR="00706097" w:rsidRDefault="00DA6858">
            <w:pPr>
              <w:jc w:val="center"/>
              <w:rPr>
                <w:rFonts w:ascii="宋体" w:hAnsi="宋体"/>
              </w:rPr>
            </w:pPr>
            <w:r>
              <w:rPr>
                <w:rFonts w:ascii="宋体" w:hAnsi="宋体"/>
              </w:rPr>
              <w:t>1.45%</w:t>
            </w:r>
          </w:p>
        </w:tc>
        <w:tc>
          <w:tcPr>
            <w:tcW w:w="1622" w:type="dxa"/>
            <w:vAlign w:val="center"/>
          </w:tcPr>
          <w:p w14:paraId="14BB2499" w14:textId="77777777" w:rsidR="00706097" w:rsidRDefault="00DA6858">
            <w:pPr>
              <w:jc w:val="center"/>
              <w:rPr>
                <w:rFonts w:ascii="宋体" w:hAnsi="宋体"/>
              </w:rPr>
            </w:pPr>
            <w:r>
              <w:rPr>
                <w:rFonts w:ascii="宋体" w:hAnsi="宋体"/>
              </w:rPr>
              <w:t>0.01%</w:t>
            </w:r>
          </w:p>
        </w:tc>
        <w:tc>
          <w:tcPr>
            <w:tcW w:w="1087" w:type="dxa"/>
            <w:vAlign w:val="center"/>
          </w:tcPr>
          <w:p w14:paraId="6A77CB62" w14:textId="77777777" w:rsidR="00706097" w:rsidRDefault="00DA6858">
            <w:pPr>
              <w:jc w:val="center"/>
              <w:rPr>
                <w:rFonts w:ascii="宋体" w:hAnsi="宋体"/>
              </w:rPr>
            </w:pPr>
            <w:r>
              <w:rPr>
                <w:rFonts w:ascii="宋体" w:hAnsi="宋体"/>
              </w:rPr>
              <w:t>0.68%</w:t>
            </w:r>
          </w:p>
        </w:tc>
        <w:tc>
          <w:tcPr>
            <w:tcW w:w="1117" w:type="dxa"/>
            <w:vAlign w:val="center"/>
          </w:tcPr>
          <w:p w14:paraId="10C26B96" w14:textId="77777777" w:rsidR="00706097" w:rsidRDefault="00DA6858">
            <w:pPr>
              <w:jc w:val="center"/>
              <w:rPr>
                <w:rFonts w:ascii="宋体" w:hAnsi="宋体"/>
              </w:rPr>
            </w:pPr>
            <w:r>
              <w:rPr>
                <w:rFonts w:ascii="宋体" w:hAnsi="宋体"/>
              </w:rPr>
              <w:t>0.04%</w:t>
            </w:r>
          </w:p>
        </w:tc>
      </w:tr>
      <w:tr w:rsidR="00706097" w14:paraId="0793B707" w14:textId="77777777" w:rsidTr="00C9237B">
        <w:tc>
          <w:tcPr>
            <w:tcW w:w="1486" w:type="dxa"/>
            <w:vAlign w:val="center"/>
          </w:tcPr>
          <w:p w14:paraId="3629D952" w14:textId="77777777" w:rsidR="00706097" w:rsidRDefault="00DA6858">
            <w:pPr>
              <w:jc w:val="center"/>
              <w:rPr>
                <w:rFonts w:ascii="宋体" w:hAnsi="宋体"/>
              </w:rPr>
            </w:pPr>
            <w:r>
              <w:rPr>
                <w:rFonts w:ascii="宋体" w:hAnsi="宋体" w:hint="eastAsia"/>
              </w:rPr>
              <w:t>2021年1月1日至</w:t>
            </w:r>
            <w:r>
              <w:rPr>
                <w:rFonts w:ascii="宋体" w:hAnsi="宋体" w:cs="宋体"/>
                <w:szCs w:val="21"/>
              </w:rPr>
              <w:t>20</w:t>
            </w:r>
            <w:r>
              <w:rPr>
                <w:rFonts w:ascii="宋体" w:hAnsi="宋体" w:cs="宋体" w:hint="eastAsia"/>
                <w:szCs w:val="21"/>
              </w:rPr>
              <w:t>21年12月</w:t>
            </w:r>
            <w:r>
              <w:rPr>
                <w:rFonts w:ascii="宋体" w:hAnsi="宋体" w:cs="宋体"/>
                <w:szCs w:val="21"/>
              </w:rPr>
              <w:t>3</w:t>
            </w:r>
            <w:r>
              <w:rPr>
                <w:rFonts w:ascii="宋体" w:hAnsi="宋体" w:cs="宋体" w:hint="eastAsia"/>
                <w:szCs w:val="21"/>
              </w:rPr>
              <w:t>1日</w:t>
            </w:r>
          </w:p>
        </w:tc>
        <w:tc>
          <w:tcPr>
            <w:tcW w:w="811" w:type="dxa"/>
            <w:vAlign w:val="center"/>
          </w:tcPr>
          <w:p w14:paraId="7E82DCE7" w14:textId="77777777" w:rsidR="00706097" w:rsidRDefault="00DA6858">
            <w:pPr>
              <w:jc w:val="center"/>
              <w:rPr>
                <w:rFonts w:ascii="宋体" w:hAnsi="宋体"/>
              </w:rPr>
            </w:pPr>
            <w:r>
              <w:rPr>
                <w:rFonts w:ascii="宋体" w:hAnsi="宋体"/>
              </w:rPr>
              <w:t>1.43%</w:t>
            </w:r>
          </w:p>
        </w:tc>
        <w:tc>
          <w:tcPr>
            <w:tcW w:w="1117" w:type="dxa"/>
            <w:vAlign w:val="center"/>
          </w:tcPr>
          <w:p w14:paraId="7D617A02" w14:textId="77777777" w:rsidR="00706097" w:rsidRDefault="00DA6858">
            <w:pPr>
              <w:jc w:val="center"/>
              <w:rPr>
                <w:rFonts w:ascii="宋体" w:hAnsi="宋体"/>
              </w:rPr>
            </w:pPr>
            <w:r>
              <w:rPr>
                <w:rFonts w:ascii="宋体" w:hAnsi="宋体"/>
              </w:rPr>
              <w:t>0.05%</w:t>
            </w:r>
          </w:p>
        </w:tc>
        <w:tc>
          <w:tcPr>
            <w:tcW w:w="1285" w:type="dxa"/>
            <w:vAlign w:val="center"/>
          </w:tcPr>
          <w:p w14:paraId="1F9294BE" w14:textId="77777777" w:rsidR="00706097" w:rsidRDefault="00DA6858">
            <w:pPr>
              <w:jc w:val="center"/>
              <w:rPr>
                <w:rFonts w:ascii="宋体" w:hAnsi="宋体"/>
              </w:rPr>
            </w:pPr>
            <w:r>
              <w:rPr>
                <w:rFonts w:ascii="宋体" w:hAnsi="宋体"/>
              </w:rPr>
              <w:t>2.34%</w:t>
            </w:r>
          </w:p>
        </w:tc>
        <w:tc>
          <w:tcPr>
            <w:tcW w:w="1622" w:type="dxa"/>
            <w:vAlign w:val="center"/>
          </w:tcPr>
          <w:p w14:paraId="5560F3CC" w14:textId="77777777" w:rsidR="00706097" w:rsidRDefault="00DA6858">
            <w:pPr>
              <w:jc w:val="center"/>
              <w:rPr>
                <w:rFonts w:ascii="宋体" w:hAnsi="宋体"/>
              </w:rPr>
            </w:pPr>
            <w:r>
              <w:rPr>
                <w:rFonts w:ascii="宋体" w:hAnsi="宋体"/>
              </w:rPr>
              <w:t>0.01%</w:t>
            </w:r>
          </w:p>
        </w:tc>
        <w:tc>
          <w:tcPr>
            <w:tcW w:w="1087" w:type="dxa"/>
            <w:vAlign w:val="center"/>
          </w:tcPr>
          <w:p w14:paraId="0375AA7C" w14:textId="77777777" w:rsidR="00706097" w:rsidRDefault="00DA6858">
            <w:pPr>
              <w:jc w:val="center"/>
              <w:rPr>
                <w:rFonts w:ascii="宋体" w:hAnsi="宋体"/>
              </w:rPr>
            </w:pPr>
            <w:r>
              <w:rPr>
                <w:rFonts w:ascii="宋体" w:hAnsi="宋体"/>
              </w:rPr>
              <w:t>-0.91%</w:t>
            </w:r>
          </w:p>
        </w:tc>
        <w:tc>
          <w:tcPr>
            <w:tcW w:w="1117" w:type="dxa"/>
            <w:vAlign w:val="center"/>
          </w:tcPr>
          <w:p w14:paraId="541A1490" w14:textId="77777777" w:rsidR="00706097" w:rsidRDefault="00DA6858">
            <w:pPr>
              <w:jc w:val="center"/>
              <w:rPr>
                <w:rFonts w:ascii="宋体" w:hAnsi="宋体"/>
              </w:rPr>
            </w:pPr>
            <w:r>
              <w:rPr>
                <w:rFonts w:ascii="宋体" w:hAnsi="宋体"/>
              </w:rPr>
              <w:t>0.04%</w:t>
            </w:r>
          </w:p>
        </w:tc>
      </w:tr>
      <w:tr w:rsidR="00C9237B" w14:paraId="47DCF1C5" w14:textId="77777777" w:rsidTr="00C9237B">
        <w:tc>
          <w:tcPr>
            <w:tcW w:w="1486" w:type="dxa"/>
            <w:vAlign w:val="center"/>
          </w:tcPr>
          <w:p w14:paraId="1CB37CFA" w14:textId="5B12254F" w:rsidR="00C9237B" w:rsidRDefault="00C9237B" w:rsidP="00C9237B">
            <w:pPr>
              <w:jc w:val="center"/>
              <w:rPr>
                <w:rFonts w:ascii="宋体" w:hAnsi="宋体"/>
              </w:rPr>
            </w:pPr>
            <w:r>
              <w:rPr>
                <w:rFonts w:ascii="宋体" w:hAnsi="宋体" w:hint="eastAsia"/>
              </w:rPr>
              <w:t>202</w:t>
            </w:r>
            <w:r>
              <w:rPr>
                <w:rFonts w:ascii="宋体" w:hAnsi="宋体"/>
              </w:rPr>
              <w:t>2</w:t>
            </w:r>
            <w:r>
              <w:rPr>
                <w:rFonts w:ascii="宋体" w:hAnsi="宋体" w:hint="eastAsia"/>
              </w:rPr>
              <w:t>年1月1日至</w:t>
            </w:r>
            <w:r>
              <w:rPr>
                <w:rFonts w:ascii="宋体" w:hAnsi="宋体" w:cs="宋体"/>
                <w:szCs w:val="21"/>
              </w:rPr>
              <w:t>20</w:t>
            </w:r>
            <w:r>
              <w:rPr>
                <w:rFonts w:ascii="宋体" w:hAnsi="宋体" w:cs="宋体" w:hint="eastAsia"/>
                <w:szCs w:val="21"/>
              </w:rPr>
              <w:t>2</w:t>
            </w:r>
            <w:r>
              <w:rPr>
                <w:rFonts w:ascii="宋体" w:hAnsi="宋体" w:cs="宋体"/>
                <w:szCs w:val="21"/>
              </w:rPr>
              <w:t>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11" w:type="dxa"/>
            <w:vAlign w:val="center"/>
          </w:tcPr>
          <w:p w14:paraId="2CCE4C8D" w14:textId="38ADFEBE" w:rsidR="00C9237B" w:rsidRDefault="00C9237B" w:rsidP="00C9237B">
            <w:pPr>
              <w:jc w:val="center"/>
              <w:rPr>
                <w:rFonts w:ascii="宋体" w:hAnsi="宋体"/>
              </w:rPr>
            </w:pPr>
            <w:r>
              <w:rPr>
                <w:rFonts w:ascii="宋体" w:hAnsi="宋体" w:hint="eastAsia"/>
              </w:rPr>
              <w:t>3.30</w:t>
            </w:r>
            <w:r w:rsidRPr="00C9237B">
              <w:rPr>
                <w:rFonts w:ascii="宋体" w:hAnsi="宋体"/>
              </w:rPr>
              <w:t xml:space="preserve">% </w:t>
            </w:r>
          </w:p>
        </w:tc>
        <w:tc>
          <w:tcPr>
            <w:tcW w:w="1117" w:type="dxa"/>
            <w:vAlign w:val="center"/>
          </w:tcPr>
          <w:p w14:paraId="015B8CE0" w14:textId="0612804A" w:rsidR="00C9237B" w:rsidRDefault="00C9237B" w:rsidP="00C9237B">
            <w:pPr>
              <w:jc w:val="center"/>
              <w:rPr>
                <w:rFonts w:ascii="宋体" w:hAnsi="宋体"/>
              </w:rPr>
            </w:pPr>
            <w:r>
              <w:rPr>
                <w:rFonts w:ascii="宋体" w:hAnsi="宋体" w:hint="eastAsia"/>
              </w:rPr>
              <w:t>0.02</w:t>
            </w:r>
            <w:r w:rsidRPr="00C9237B">
              <w:rPr>
                <w:rFonts w:ascii="宋体" w:hAnsi="宋体"/>
              </w:rPr>
              <w:t xml:space="preserve">% </w:t>
            </w:r>
          </w:p>
        </w:tc>
        <w:tc>
          <w:tcPr>
            <w:tcW w:w="1285" w:type="dxa"/>
            <w:vAlign w:val="center"/>
          </w:tcPr>
          <w:p w14:paraId="30382413" w14:textId="0ED05261" w:rsidR="00C9237B" w:rsidRDefault="00C9237B" w:rsidP="00C9237B">
            <w:pPr>
              <w:jc w:val="center"/>
              <w:rPr>
                <w:rFonts w:ascii="宋体" w:hAnsi="宋体"/>
              </w:rPr>
            </w:pPr>
            <w:r>
              <w:rPr>
                <w:rFonts w:ascii="宋体" w:hAnsi="宋体" w:hint="eastAsia"/>
              </w:rPr>
              <w:t>1.94</w:t>
            </w:r>
            <w:r w:rsidRPr="00C9237B">
              <w:rPr>
                <w:rFonts w:ascii="宋体" w:hAnsi="宋体"/>
              </w:rPr>
              <w:t>%</w:t>
            </w:r>
            <w:r>
              <w:rPr>
                <w:rFonts w:ascii="宋体" w:hAnsi="宋体" w:hint="eastAsia"/>
              </w:rPr>
              <w:t xml:space="preserve"> </w:t>
            </w:r>
          </w:p>
        </w:tc>
        <w:tc>
          <w:tcPr>
            <w:tcW w:w="1622" w:type="dxa"/>
            <w:vAlign w:val="center"/>
          </w:tcPr>
          <w:p w14:paraId="74CCB74E" w14:textId="68F50F41"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c>
          <w:tcPr>
            <w:tcW w:w="1087" w:type="dxa"/>
            <w:vAlign w:val="center"/>
          </w:tcPr>
          <w:p w14:paraId="6CA11ED6" w14:textId="1C571D69" w:rsidR="00C9237B" w:rsidRDefault="00C9237B" w:rsidP="00C9237B">
            <w:pPr>
              <w:jc w:val="center"/>
              <w:rPr>
                <w:rFonts w:ascii="宋体" w:hAnsi="宋体"/>
              </w:rPr>
            </w:pPr>
            <w:r>
              <w:rPr>
                <w:rFonts w:ascii="宋体" w:hAnsi="宋体" w:hint="eastAsia"/>
              </w:rPr>
              <w:t>1.36</w:t>
            </w:r>
            <w:r w:rsidRPr="00C9237B">
              <w:rPr>
                <w:rFonts w:ascii="宋体" w:hAnsi="宋体"/>
              </w:rPr>
              <w:t xml:space="preserve">% </w:t>
            </w:r>
          </w:p>
        </w:tc>
        <w:tc>
          <w:tcPr>
            <w:tcW w:w="1117" w:type="dxa"/>
            <w:vAlign w:val="center"/>
          </w:tcPr>
          <w:p w14:paraId="7C28E4C2" w14:textId="55101518"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r>
      <w:tr w:rsidR="00C9237B" w14:paraId="20FFFED6" w14:textId="77777777" w:rsidTr="00C9237B">
        <w:tc>
          <w:tcPr>
            <w:tcW w:w="1486" w:type="dxa"/>
            <w:vAlign w:val="center"/>
          </w:tcPr>
          <w:p w14:paraId="48E12B6F" w14:textId="1FC6716D" w:rsidR="00C9237B" w:rsidRDefault="00C9237B" w:rsidP="00C9237B">
            <w:pPr>
              <w:jc w:val="center"/>
              <w:rPr>
                <w:rFonts w:ascii="宋体" w:hAnsi="宋体"/>
              </w:rPr>
            </w:pPr>
            <w:r>
              <w:rPr>
                <w:rFonts w:ascii="宋体" w:hAnsi="宋体" w:hint="eastAsia"/>
              </w:rPr>
              <w:t>2020年3月12日至</w:t>
            </w:r>
            <w:r>
              <w:rPr>
                <w:rFonts w:ascii="宋体" w:hAnsi="宋体" w:cs="宋体"/>
                <w:szCs w:val="21"/>
              </w:rPr>
              <w:t>20</w:t>
            </w:r>
            <w:r>
              <w:rPr>
                <w:rFonts w:ascii="宋体" w:hAnsi="宋体" w:cs="宋体" w:hint="eastAsia"/>
                <w:szCs w:val="21"/>
              </w:rPr>
              <w:t>2</w:t>
            </w:r>
            <w:r>
              <w:rPr>
                <w:rFonts w:ascii="宋体" w:hAnsi="宋体" w:cs="宋体"/>
                <w:szCs w:val="21"/>
              </w:rPr>
              <w:t>2</w:t>
            </w:r>
            <w:r>
              <w:rPr>
                <w:rFonts w:ascii="宋体" w:hAnsi="宋体" w:cs="宋体" w:hint="eastAsia"/>
                <w:szCs w:val="21"/>
              </w:rPr>
              <w:t>年12月</w:t>
            </w:r>
            <w:r>
              <w:rPr>
                <w:rFonts w:ascii="宋体" w:hAnsi="宋体" w:cs="宋体"/>
                <w:szCs w:val="21"/>
              </w:rPr>
              <w:t>3</w:t>
            </w:r>
            <w:r>
              <w:rPr>
                <w:rFonts w:ascii="宋体" w:hAnsi="宋体" w:cs="宋体" w:hint="eastAsia"/>
                <w:szCs w:val="21"/>
              </w:rPr>
              <w:t>1日</w:t>
            </w:r>
          </w:p>
        </w:tc>
        <w:tc>
          <w:tcPr>
            <w:tcW w:w="811" w:type="dxa"/>
            <w:vAlign w:val="center"/>
          </w:tcPr>
          <w:p w14:paraId="014C1B64" w14:textId="2182867A" w:rsidR="00C9237B" w:rsidRDefault="00C9237B" w:rsidP="00C9237B">
            <w:pPr>
              <w:jc w:val="center"/>
              <w:rPr>
                <w:rFonts w:ascii="宋体" w:hAnsi="宋体"/>
              </w:rPr>
            </w:pPr>
            <w:r>
              <w:rPr>
                <w:rFonts w:ascii="宋体" w:hAnsi="宋体" w:hint="eastAsia"/>
              </w:rPr>
              <w:t>7.01</w:t>
            </w:r>
            <w:r w:rsidRPr="00C9237B">
              <w:rPr>
                <w:rFonts w:ascii="宋体" w:hAnsi="宋体"/>
              </w:rPr>
              <w:t xml:space="preserve">% </w:t>
            </w:r>
          </w:p>
        </w:tc>
        <w:tc>
          <w:tcPr>
            <w:tcW w:w="1117" w:type="dxa"/>
            <w:vAlign w:val="center"/>
          </w:tcPr>
          <w:p w14:paraId="5FC38B8A" w14:textId="39171ABE" w:rsidR="00C9237B" w:rsidRDefault="00C9237B" w:rsidP="00C9237B">
            <w:pPr>
              <w:jc w:val="center"/>
              <w:rPr>
                <w:rFonts w:ascii="宋体" w:hAnsi="宋体"/>
              </w:rPr>
            </w:pPr>
            <w:r>
              <w:rPr>
                <w:rFonts w:ascii="宋体" w:hAnsi="宋体" w:hint="eastAsia"/>
              </w:rPr>
              <w:t>0.04</w:t>
            </w:r>
            <w:r w:rsidRPr="00C9237B">
              <w:rPr>
                <w:rFonts w:ascii="宋体" w:hAnsi="宋体"/>
              </w:rPr>
              <w:t xml:space="preserve">% </w:t>
            </w:r>
          </w:p>
        </w:tc>
        <w:tc>
          <w:tcPr>
            <w:tcW w:w="1285" w:type="dxa"/>
            <w:vAlign w:val="center"/>
          </w:tcPr>
          <w:p w14:paraId="6BCD2085" w14:textId="613C74C5" w:rsidR="00C9237B" w:rsidRDefault="00C9237B" w:rsidP="00C9237B">
            <w:pPr>
              <w:jc w:val="center"/>
              <w:rPr>
                <w:rFonts w:ascii="宋体" w:hAnsi="宋体"/>
              </w:rPr>
            </w:pPr>
            <w:r>
              <w:rPr>
                <w:rFonts w:ascii="宋体" w:hAnsi="宋体" w:hint="eastAsia"/>
              </w:rPr>
              <w:t>5.84</w:t>
            </w:r>
            <w:r w:rsidRPr="00C9237B">
              <w:rPr>
                <w:rFonts w:ascii="宋体" w:hAnsi="宋体"/>
              </w:rPr>
              <w:t>%</w:t>
            </w:r>
            <w:r>
              <w:rPr>
                <w:rFonts w:ascii="宋体" w:hAnsi="宋体" w:hint="eastAsia"/>
              </w:rPr>
              <w:t xml:space="preserve"> </w:t>
            </w:r>
          </w:p>
        </w:tc>
        <w:tc>
          <w:tcPr>
            <w:tcW w:w="1622" w:type="dxa"/>
            <w:vAlign w:val="center"/>
          </w:tcPr>
          <w:p w14:paraId="37658F7E" w14:textId="4971018F" w:rsidR="00C9237B" w:rsidRDefault="00C9237B" w:rsidP="00C9237B">
            <w:pPr>
              <w:jc w:val="center"/>
              <w:rPr>
                <w:rFonts w:ascii="宋体" w:hAnsi="宋体"/>
              </w:rPr>
            </w:pPr>
            <w:r>
              <w:rPr>
                <w:rFonts w:ascii="宋体" w:hAnsi="宋体" w:hint="eastAsia"/>
              </w:rPr>
              <w:t>0.01</w:t>
            </w:r>
            <w:r w:rsidRPr="00C9237B">
              <w:rPr>
                <w:rFonts w:ascii="宋体" w:hAnsi="宋体"/>
              </w:rPr>
              <w:t xml:space="preserve">% </w:t>
            </w:r>
          </w:p>
        </w:tc>
        <w:tc>
          <w:tcPr>
            <w:tcW w:w="1087" w:type="dxa"/>
            <w:vAlign w:val="center"/>
          </w:tcPr>
          <w:p w14:paraId="4E3EB44E" w14:textId="612187C3" w:rsidR="00C9237B" w:rsidRDefault="00C9237B" w:rsidP="00C9237B">
            <w:pPr>
              <w:jc w:val="center"/>
              <w:rPr>
                <w:rFonts w:ascii="宋体" w:hAnsi="宋体"/>
              </w:rPr>
            </w:pPr>
            <w:r>
              <w:rPr>
                <w:rFonts w:ascii="宋体" w:hAnsi="宋体" w:hint="eastAsia"/>
              </w:rPr>
              <w:t>1.17</w:t>
            </w:r>
            <w:r w:rsidRPr="00C9237B">
              <w:rPr>
                <w:rFonts w:ascii="宋体" w:hAnsi="宋体"/>
              </w:rPr>
              <w:t xml:space="preserve">% </w:t>
            </w:r>
          </w:p>
        </w:tc>
        <w:tc>
          <w:tcPr>
            <w:tcW w:w="1117" w:type="dxa"/>
            <w:vAlign w:val="center"/>
          </w:tcPr>
          <w:p w14:paraId="569804E1" w14:textId="79E7B687" w:rsidR="00C9237B" w:rsidRDefault="00C9237B" w:rsidP="00C9237B">
            <w:pPr>
              <w:jc w:val="center"/>
              <w:rPr>
                <w:rFonts w:ascii="宋体" w:hAnsi="宋体"/>
              </w:rPr>
            </w:pPr>
            <w:r>
              <w:rPr>
                <w:rFonts w:ascii="宋体" w:hAnsi="宋体" w:hint="eastAsia"/>
              </w:rPr>
              <w:t>0.03</w:t>
            </w:r>
            <w:r w:rsidRPr="00C9237B">
              <w:rPr>
                <w:rFonts w:ascii="宋体" w:hAnsi="宋体"/>
              </w:rPr>
              <w:t xml:space="preserve">% </w:t>
            </w:r>
          </w:p>
        </w:tc>
      </w:tr>
    </w:tbl>
    <w:bookmarkEnd w:id="251"/>
    <w:p w14:paraId="4B45236E" w14:textId="77777777" w:rsidR="00C9237B" w:rsidRDefault="00DA6858" w:rsidP="00C9237B">
      <w:pPr>
        <w:spacing w:line="360" w:lineRule="auto"/>
        <w:jc w:val="center"/>
        <w:rPr>
          <w:rFonts w:ascii="宋体" w:hAnsi="宋体"/>
          <w:kern w:val="0"/>
        </w:rPr>
      </w:pPr>
      <w:r>
        <w:rPr>
          <w:rFonts w:ascii="宋体" w:hAnsi="宋体"/>
        </w:rPr>
        <w:t xml:space="preserve"> </w:t>
      </w:r>
      <w:r w:rsidR="00C9237B">
        <w:rPr>
          <w:rFonts w:ascii="宋体" w:hAnsi="宋体" w:hint="eastAsia"/>
        </w:rPr>
        <w:t>东海</w:t>
      </w:r>
      <w:proofErr w:type="gramStart"/>
      <w:r w:rsidR="00C9237B">
        <w:rPr>
          <w:rFonts w:ascii="宋体" w:hAnsi="宋体" w:hint="eastAsia"/>
        </w:rPr>
        <w:t>祥苏短</w:t>
      </w:r>
      <w:proofErr w:type="gramEnd"/>
      <w:r w:rsidR="00C9237B">
        <w:rPr>
          <w:rFonts w:ascii="宋体" w:hAnsi="宋体" w:hint="eastAsia"/>
        </w:rPr>
        <w:t>债E</w:t>
      </w:r>
      <w:r w:rsidR="00C9237B">
        <w:rPr>
          <w:rFonts w:ascii="宋体" w:hAnsi="宋体" w:hint="eastAsia"/>
          <w:kern w:val="0"/>
        </w:rPr>
        <w:t xml:space="preserve">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55"/>
        <w:gridCol w:w="993"/>
        <w:gridCol w:w="1132"/>
        <w:gridCol w:w="1136"/>
        <w:gridCol w:w="1557"/>
        <w:gridCol w:w="993"/>
        <w:gridCol w:w="1134"/>
      </w:tblGrid>
      <w:tr w:rsidR="00C9237B" w14:paraId="7BC12908" w14:textId="77777777" w:rsidTr="00C9237B">
        <w:trPr>
          <w:trHeight w:val="315"/>
        </w:trPr>
        <w:tc>
          <w:tcPr>
            <w:tcW w:w="91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366D1186" w14:textId="77777777" w:rsidR="00C9237B" w:rsidRDefault="00C9237B" w:rsidP="002917CF">
            <w:pPr>
              <w:spacing w:line="360" w:lineRule="auto"/>
              <w:jc w:val="center"/>
              <w:rPr>
                <w:rFonts w:ascii="宋体" w:hAnsi="宋体"/>
              </w:rPr>
            </w:pPr>
            <w:r>
              <w:rPr>
                <w:rFonts w:ascii="宋体" w:hAnsi="宋体" w:hint="eastAsia"/>
              </w:rPr>
              <w:t xml:space="preserve">阶段 </w:t>
            </w:r>
          </w:p>
        </w:tc>
        <w:tc>
          <w:tcPr>
            <w:tcW w:w="584"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11460C63" w14:textId="77777777" w:rsidR="00C9237B" w:rsidRDefault="00C9237B" w:rsidP="002917CF">
            <w:pPr>
              <w:spacing w:line="360" w:lineRule="auto"/>
              <w:jc w:val="center"/>
              <w:rPr>
                <w:rFonts w:ascii="宋体" w:hAnsi="宋体"/>
              </w:rPr>
            </w:pPr>
            <w:r>
              <w:rPr>
                <w:rFonts w:ascii="宋体" w:hAnsi="宋体" w:hint="eastAsia"/>
              </w:rPr>
              <w:t xml:space="preserve">净值增长率① </w:t>
            </w:r>
          </w:p>
        </w:tc>
        <w:tc>
          <w:tcPr>
            <w:tcW w:w="66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4755E91D" w14:textId="77777777" w:rsidR="00C9237B" w:rsidRDefault="00C9237B" w:rsidP="002917CF">
            <w:pPr>
              <w:spacing w:line="360" w:lineRule="auto"/>
              <w:jc w:val="center"/>
              <w:rPr>
                <w:rFonts w:ascii="宋体" w:hAnsi="宋体"/>
              </w:rPr>
            </w:pPr>
            <w:r>
              <w:rPr>
                <w:rFonts w:ascii="宋体" w:hAnsi="宋体" w:hint="eastAsia"/>
              </w:rPr>
              <w:t xml:space="preserve">净值增长率标准差② </w:t>
            </w:r>
          </w:p>
        </w:tc>
        <w:tc>
          <w:tcPr>
            <w:tcW w:w="66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45DCCB63" w14:textId="77777777" w:rsidR="00C9237B" w:rsidRDefault="00C9237B" w:rsidP="002917CF">
            <w:pPr>
              <w:spacing w:line="360" w:lineRule="auto"/>
              <w:jc w:val="center"/>
              <w:rPr>
                <w:rFonts w:ascii="宋体" w:hAnsi="宋体"/>
              </w:rPr>
            </w:pPr>
            <w:r>
              <w:rPr>
                <w:rFonts w:ascii="宋体" w:hAnsi="宋体" w:hint="eastAsia"/>
              </w:rPr>
              <w:t xml:space="preserve">业绩比较基准收益率③ </w:t>
            </w:r>
          </w:p>
        </w:tc>
        <w:tc>
          <w:tcPr>
            <w:tcW w:w="91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4273643D" w14:textId="77777777" w:rsidR="00C9237B" w:rsidRDefault="00C9237B" w:rsidP="002917CF">
            <w:pPr>
              <w:spacing w:line="360" w:lineRule="auto"/>
              <w:jc w:val="center"/>
              <w:rPr>
                <w:rFonts w:ascii="宋体" w:hAnsi="宋体"/>
              </w:rPr>
            </w:pPr>
            <w:r>
              <w:rPr>
                <w:rFonts w:ascii="宋体" w:hAnsi="宋体" w:hint="eastAsia"/>
              </w:rPr>
              <w:t xml:space="preserve">业绩比较基准收益率标准差④ </w:t>
            </w:r>
          </w:p>
        </w:tc>
        <w:tc>
          <w:tcPr>
            <w:tcW w:w="584"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D958BE" w14:textId="77777777" w:rsidR="00C9237B" w:rsidRDefault="00C9237B" w:rsidP="002917CF">
            <w:pPr>
              <w:spacing w:line="360" w:lineRule="auto"/>
              <w:jc w:val="center"/>
              <w:rPr>
                <w:rFonts w:ascii="宋体" w:hAnsi="宋体"/>
              </w:rPr>
            </w:pPr>
            <w:r>
              <w:rPr>
                <w:rFonts w:ascii="宋体" w:hAnsi="宋体" w:hint="eastAsia"/>
              </w:rPr>
              <w:t xml:space="preserve">①－③ </w:t>
            </w:r>
          </w:p>
        </w:tc>
        <w:tc>
          <w:tcPr>
            <w:tcW w:w="66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0" w:type="dxa"/>
              <w:right w:w="15" w:type="dxa"/>
            </w:tcMar>
            <w:vAlign w:val="center"/>
          </w:tcPr>
          <w:p w14:paraId="302E5009" w14:textId="77777777" w:rsidR="00C9237B" w:rsidRDefault="00C9237B" w:rsidP="002917CF">
            <w:pPr>
              <w:spacing w:line="360" w:lineRule="auto"/>
              <w:jc w:val="center"/>
              <w:rPr>
                <w:rFonts w:ascii="宋体" w:hAnsi="宋体"/>
              </w:rPr>
            </w:pPr>
            <w:r>
              <w:rPr>
                <w:rFonts w:ascii="宋体" w:hAnsi="宋体" w:hint="eastAsia"/>
              </w:rPr>
              <w:t xml:space="preserve">②－④ </w:t>
            </w:r>
          </w:p>
        </w:tc>
      </w:tr>
      <w:tr w:rsidR="00C9237B" w14:paraId="2405A001" w14:textId="77777777" w:rsidTr="00C9237B">
        <w:trPr>
          <w:trHeight w:val="285"/>
        </w:trPr>
        <w:tc>
          <w:tcPr>
            <w:tcW w:w="91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A1A2696" w14:textId="30EB8E01" w:rsidR="00C9237B" w:rsidRDefault="00C9237B" w:rsidP="00C9237B">
            <w:pPr>
              <w:spacing w:line="360" w:lineRule="auto"/>
              <w:jc w:val="center"/>
            </w:pPr>
            <w:r>
              <w:rPr>
                <w:rFonts w:hint="eastAsia"/>
              </w:rPr>
              <w:t>2</w:t>
            </w:r>
            <w:r>
              <w:t>022</w:t>
            </w:r>
            <w:r>
              <w:rPr>
                <w:rFonts w:hint="eastAsia"/>
              </w:rPr>
              <w:t>年</w:t>
            </w:r>
            <w:r>
              <w:rPr>
                <w:rFonts w:hint="eastAsia"/>
              </w:rPr>
              <w:t>4</w:t>
            </w:r>
            <w:r>
              <w:rPr>
                <w:rFonts w:hint="eastAsia"/>
              </w:rPr>
              <w:t>月</w:t>
            </w:r>
            <w:r>
              <w:rPr>
                <w:rFonts w:hint="eastAsia"/>
              </w:rPr>
              <w:t>1</w:t>
            </w:r>
            <w:r>
              <w:t>1</w:t>
            </w:r>
            <w:r>
              <w:rPr>
                <w:rFonts w:hint="eastAsia"/>
              </w:rPr>
              <w:lastRenderedPageBreak/>
              <w:t>日至</w:t>
            </w:r>
            <w:r>
              <w:rPr>
                <w:rFonts w:hint="eastAsia"/>
              </w:rPr>
              <w:t>2</w:t>
            </w:r>
            <w:r>
              <w:t>022</w:t>
            </w:r>
            <w:r>
              <w:rPr>
                <w:rFonts w:hint="eastAsia"/>
              </w:rPr>
              <w:t>年</w:t>
            </w:r>
            <w:r>
              <w:rPr>
                <w:rFonts w:hint="eastAsia"/>
              </w:rPr>
              <w:t>1</w:t>
            </w:r>
            <w:r>
              <w:t>2</w:t>
            </w:r>
            <w:r>
              <w:rPr>
                <w:rFonts w:hint="eastAsia"/>
              </w:rPr>
              <w:t>月</w:t>
            </w:r>
            <w:r>
              <w:rPr>
                <w:rFonts w:hint="eastAsia"/>
              </w:rPr>
              <w:t>3</w:t>
            </w:r>
            <w:r>
              <w:t>1</w:t>
            </w:r>
            <w:r>
              <w:rPr>
                <w:rFonts w:hint="eastAsia"/>
              </w:rPr>
              <w:t>日</w:t>
            </w:r>
          </w:p>
        </w:tc>
        <w:tc>
          <w:tcPr>
            <w:tcW w:w="584"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8470E2D" w14:textId="24D9EAA1" w:rsidR="00C9237B" w:rsidRPr="00C9237B" w:rsidRDefault="00C9237B" w:rsidP="00C9237B">
            <w:pPr>
              <w:spacing w:line="360" w:lineRule="auto"/>
              <w:jc w:val="right"/>
              <w:rPr>
                <w:highlight w:val="yellow"/>
              </w:rPr>
            </w:pPr>
            <w:r>
              <w:rPr>
                <w:rFonts w:ascii="宋体" w:hAnsi="宋体" w:hint="eastAsia"/>
              </w:rPr>
              <w:lastRenderedPageBreak/>
              <w:t>2.05</w:t>
            </w:r>
            <w:r>
              <w:t xml:space="preserve">% </w:t>
            </w:r>
          </w:p>
        </w:tc>
        <w:tc>
          <w:tcPr>
            <w:tcW w:w="66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8F7AB57" w14:textId="5B56B5FF" w:rsidR="00C9237B" w:rsidRPr="00C9237B" w:rsidRDefault="00C9237B" w:rsidP="00C9237B">
            <w:pPr>
              <w:spacing w:line="360" w:lineRule="auto"/>
              <w:jc w:val="right"/>
              <w:rPr>
                <w:highlight w:val="yellow"/>
              </w:rPr>
            </w:pPr>
            <w:r>
              <w:rPr>
                <w:rFonts w:ascii="宋体" w:hAnsi="宋体" w:hint="eastAsia"/>
              </w:rPr>
              <w:t>0.02</w:t>
            </w:r>
            <w:r>
              <w:t xml:space="preserve">% </w:t>
            </w:r>
          </w:p>
        </w:tc>
        <w:tc>
          <w:tcPr>
            <w:tcW w:w="668"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074FE06" w14:textId="59956667" w:rsidR="00C9237B" w:rsidRPr="00C9237B" w:rsidRDefault="00C9237B" w:rsidP="00C9237B">
            <w:pPr>
              <w:spacing w:line="360" w:lineRule="auto"/>
              <w:jc w:val="right"/>
              <w:rPr>
                <w:rFonts w:ascii="宋体" w:hAnsi="宋体"/>
                <w:highlight w:val="yellow"/>
              </w:rPr>
            </w:pPr>
            <w:r>
              <w:rPr>
                <w:rFonts w:ascii="宋体" w:hAnsi="宋体" w:hint="eastAsia"/>
              </w:rPr>
              <w:t>1.30</w:t>
            </w:r>
            <w:r>
              <w:t>%</w:t>
            </w:r>
            <w:r>
              <w:rPr>
                <w:rFonts w:ascii="宋体" w:hAnsi="宋体" w:hint="eastAsia"/>
              </w:rPr>
              <w:t xml:space="preserve"> </w:t>
            </w:r>
          </w:p>
        </w:tc>
        <w:tc>
          <w:tcPr>
            <w:tcW w:w="91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34208B8" w14:textId="63559614" w:rsidR="00C9237B" w:rsidRPr="00C9237B" w:rsidRDefault="00C9237B" w:rsidP="00C9237B">
            <w:pPr>
              <w:spacing w:line="360" w:lineRule="auto"/>
              <w:jc w:val="right"/>
              <w:rPr>
                <w:highlight w:val="yellow"/>
              </w:rPr>
            </w:pPr>
            <w:r>
              <w:rPr>
                <w:rFonts w:ascii="宋体" w:hAnsi="宋体" w:hint="eastAsia"/>
              </w:rPr>
              <w:t>0.01</w:t>
            </w:r>
            <w:r>
              <w:t xml:space="preserve">% </w:t>
            </w:r>
          </w:p>
        </w:tc>
        <w:tc>
          <w:tcPr>
            <w:tcW w:w="584" w:type="pct"/>
            <w:tcBorders>
              <w:top w:val="single" w:sz="4" w:space="0" w:color="auto"/>
              <w:left w:val="single" w:sz="4" w:space="0" w:color="auto"/>
              <w:bottom w:val="single" w:sz="4" w:space="0" w:color="auto"/>
              <w:right w:val="single" w:sz="4" w:space="0" w:color="auto"/>
            </w:tcBorders>
            <w:vAlign w:val="center"/>
          </w:tcPr>
          <w:p w14:paraId="17553AD6" w14:textId="64D9575F" w:rsidR="00C9237B" w:rsidRPr="00C9237B" w:rsidRDefault="00C9237B" w:rsidP="00C9237B">
            <w:pPr>
              <w:spacing w:line="360" w:lineRule="auto"/>
              <w:jc w:val="right"/>
              <w:rPr>
                <w:highlight w:val="yellow"/>
              </w:rPr>
            </w:pPr>
            <w:r>
              <w:rPr>
                <w:rFonts w:ascii="宋体" w:hAnsi="宋体" w:hint="eastAsia"/>
              </w:rPr>
              <w:t>0.75</w:t>
            </w:r>
            <w:r>
              <w:t xml:space="preserve">% </w:t>
            </w:r>
          </w:p>
        </w:tc>
        <w:tc>
          <w:tcPr>
            <w:tcW w:w="667"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BBEDBDE" w14:textId="08E43B0A" w:rsidR="00C9237B" w:rsidRPr="00C9237B" w:rsidRDefault="00C9237B" w:rsidP="00C9237B">
            <w:pPr>
              <w:spacing w:line="360" w:lineRule="auto"/>
              <w:jc w:val="right"/>
              <w:rPr>
                <w:highlight w:val="yellow"/>
              </w:rPr>
            </w:pPr>
            <w:r>
              <w:rPr>
                <w:rFonts w:ascii="宋体" w:hAnsi="宋体" w:hint="eastAsia"/>
              </w:rPr>
              <w:t>0.01</w:t>
            </w:r>
            <w:r>
              <w:t xml:space="preserve">% </w:t>
            </w:r>
          </w:p>
        </w:tc>
      </w:tr>
    </w:tbl>
    <w:p w14:paraId="0BA1F7EC" w14:textId="77777777" w:rsidR="00706097" w:rsidRDefault="00DA6858">
      <w:pPr>
        <w:pStyle w:val="XBRLTitle3"/>
        <w:numPr>
          <w:ilvl w:val="0"/>
          <w:numId w:val="0"/>
        </w:numPr>
        <w:tabs>
          <w:tab w:val="left" w:pos="432"/>
        </w:tabs>
        <w:spacing w:beforeLines="0" w:afterLines="0" w:line="360" w:lineRule="auto"/>
        <w:rPr>
          <w:rFonts w:ascii="宋体" w:eastAsia="宋体" w:hAnsi="宋体" w:cs="宋体"/>
          <w:bCs w:val="0"/>
          <w:kern w:val="2"/>
          <w:sz w:val="21"/>
          <w:szCs w:val="21"/>
        </w:rPr>
      </w:pPr>
      <w:r>
        <w:rPr>
          <w:rFonts w:ascii="宋体" w:eastAsia="宋体" w:hAnsi="宋体" w:cs="宋体" w:hint="eastAsia"/>
          <w:bCs w:val="0"/>
          <w:kern w:val="2"/>
          <w:sz w:val="21"/>
          <w:szCs w:val="21"/>
        </w:rPr>
        <w:lastRenderedPageBreak/>
        <w:t>二、自基金合同生效以来基金累计净值增长率变动及其与同期业绩比较基准收益率变动的比较</w:t>
      </w:r>
    </w:p>
    <w:p w14:paraId="5FB0C53D" w14:textId="084ABD88" w:rsidR="00706097" w:rsidRDefault="00706097">
      <w:pPr>
        <w:spacing w:line="360" w:lineRule="auto"/>
        <w:jc w:val="center"/>
        <w:rPr>
          <w:rFonts w:ascii="宋体" w:cs="宋体"/>
          <w:kern w:val="0"/>
        </w:rPr>
      </w:pPr>
    </w:p>
    <w:p w14:paraId="1B8BB152" w14:textId="3655B21F" w:rsidR="00706097" w:rsidRDefault="00706097">
      <w:pPr>
        <w:spacing w:line="360" w:lineRule="auto"/>
        <w:jc w:val="center"/>
        <w:rPr>
          <w:rFonts w:ascii="宋体" w:cs="宋体"/>
          <w:kern w:val="0"/>
        </w:rPr>
      </w:pPr>
    </w:p>
    <w:p w14:paraId="591E497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注：本</w:t>
      </w:r>
      <w:proofErr w:type="gramStart"/>
      <w:r>
        <w:rPr>
          <w:rFonts w:ascii="宋体" w:hAnsi="宋体" w:hint="eastAsia"/>
          <w:bCs/>
          <w:szCs w:val="21"/>
        </w:rPr>
        <w:t>基金基金</w:t>
      </w:r>
      <w:proofErr w:type="gramEnd"/>
      <w:r>
        <w:rPr>
          <w:rFonts w:ascii="宋体" w:hAnsi="宋体" w:hint="eastAsia"/>
          <w:bCs/>
          <w:szCs w:val="21"/>
        </w:rPr>
        <w:t>合同生效日为2020年3月12日，图示日期为2020年3月12日至2021年12月31日。</w:t>
      </w:r>
    </w:p>
    <w:p w14:paraId="79F445CB" w14:textId="48562D46" w:rsidR="00706097" w:rsidRDefault="00C9237B">
      <w:pPr>
        <w:snapToGrid w:val="0"/>
        <w:spacing w:line="360" w:lineRule="auto"/>
        <w:ind w:firstLineChars="200" w:firstLine="420"/>
        <w:rPr>
          <w:rFonts w:ascii="宋体" w:hAnsi="宋体"/>
          <w:bCs/>
          <w:szCs w:val="21"/>
        </w:rPr>
      </w:pPr>
      <w:r>
        <w:rPr>
          <w:rFonts w:ascii="宋体" w:hAnsi="宋体"/>
          <w:noProof/>
        </w:rPr>
        <w:drawing>
          <wp:inline distT="0" distB="0" distL="0" distR="0" wp14:anchorId="2D13AF12" wp14:editId="67301ACE">
            <wp:extent cx="5231765" cy="3005455"/>
            <wp:effectExtent l="0" t="0" r="6985" b="4445"/>
            <wp:docPr id="1" name="图片 1" descr="CN_50790000_008578_FB030040_20230001.HTSXYLJJFEJZBDJYTQYJBJJZDBDBJTuMingCheng.NORMAL.0.sub_zjjhtsxyljjljjzzzlbdjqytqyjbjjzsylbddbj_fj_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N_50790000_008578_FB030040_20230001.HTSXYLJJFEJZBDJYTQYJBJJZDBDBJTuMingCheng.NORMAL.0.sub_zjjhtsxyljjljjzzzlbdjqytqyjbjjzsylbddbj_fj_q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31765" cy="3005455"/>
                    </a:xfrm>
                    <a:prstGeom prst="rect">
                      <a:avLst/>
                    </a:prstGeom>
                    <a:noFill/>
                    <a:ln>
                      <a:noFill/>
                    </a:ln>
                  </pic:spPr>
                </pic:pic>
              </a:graphicData>
            </a:graphic>
          </wp:inline>
        </w:drawing>
      </w:r>
    </w:p>
    <w:p w14:paraId="2B268378" w14:textId="70844C83" w:rsidR="00706097" w:rsidRDefault="00C9237B">
      <w:pPr>
        <w:snapToGrid w:val="0"/>
        <w:spacing w:line="360" w:lineRule="auto"/>
        <w:ind w:firstLineChars="200" w:firstLine="420"/>
        <w:rPr>
          <w:rFonts w:ascii="宋体" w:hAnsi="宋体"/>
          <w:bCs/>
          <w:szCs w:val="21"/>
        </w:rPr>
      </w:pPr>
      <w:r>
        <w:rPr>
          <w:rFonts w:ascii="宋体" w:hAnsi="宋体"/>
          <w:noProof/>
        </w:rPr>
        <w:drawing>
          <wp:inline distT="0" distB="0" distL="0" distR="0" wp14:anchorId="1E781F4C" wp14:editId="01557B0F">
            <wp:extent cx="5231765" cy="3005455"/>
            <wp:effectExtent l="0" t="0" r="6985" b="4445"/>
            <wp:docPr id="2" name="图片 2" descr="CN_50790000_008578_FB030040_20230001.HTSXYLJJFEJZBDJYTQYJBJJZDBDBJTuMingCheng.NORMAL.1.sub_zjjhtsxyljjljjzzzlbdjqytqyjbjjzsylbddbj_fj_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N_50790000_008578_FB030040_20230001.HTSXYLJJFEJZBDJYTQYJBJJZDBDBJTuMingCheng.NORMAL.1.sub_zjjhtsxyljjljjzzzlbdjqytqyjbjjzsylbddbj_fj_qr.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31765" cy="3005455"/>
                    </a:xfrm>
                    <a:prstGeom prst="rect">
                      <a:avLst/>
                    </a:prstGeom>
                    <a:noFill/>
                    <a:ln>
                      <a:noFill/>
                    </a:ln>
                  </pic:spPr>
                </pic:pic>
              </a:graphicData>
            </a:graphic>
          </wp:inline>
        </w:drawing>
      </w:r>
    </w:p>
    <w:p w14:paraId="7F8E5CD8" w14:textId="7054CB79" w:rsidR="00706097" w:rsidRDefault="00C9237B">
      <w:pPr>
        <w:snapToGrid w:val="0"/>
        <w:spacing w:line="360" w:lineRule="auto"/>
        <w:ind w:firstLineChars="200" w:firstLine="420"/>
        <w:rPr>
          <w:rFonts w:ascii="宋体" w:hAnsi="宋体"/>
          <w:bCs/>
          <w:szCs w:val="21"/>
        </w:rPr>
      </w:pPr>
      <w:r>
        <w:rPr>
          <w:rFonts w:ascii="宋体" w:hAnsi="宋体"/>
          <w:noProof/>
        </w:rPr>
        <w:lastRenderedPageBreak/>
        <w:drawing>
          <wp:inline distT="0" distB="0" distL="0" distR="0" wp14:anchorId="000EE762" wp14:editId="56CF48FB">
            <wp:extent cx="5231765" cy="3005455"/>
            <wp:effectExtent l="0" t="0" r="6985" b="4445"/>
            <wp:docPr id="3" name="图片 3" descr="CN_50790000_008578_FB030040_20230001.HTSXYLJJFEJZBDJYTQYJBJJZDBDBJTuMingCheng.NORMAL.2.sub_zjjhtsxyljjljjzzzlbdjqytqyjbjjzsylbddbj_fj_q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N_50790000_008578_FB030040_20230001.HTSXYLJJFEJZBDJYTQYJBJJZDBDBJTuMingCheng.NORMAL.2.sub_zjjhtsxyljjljjzzzlbdjqytqyjbjjzsylbddbj_fj_qr.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31765" cy="3005455"/>
                    </a:xfrm>
                    <a:prstGeom prst="rect">
                      <a:avLst/>
                    </a:prstGeom>
                    <a:noFill/>
                    <a:ln>
                      <a:noFill/>
                    </a:ln>
                  </pic:spPr>
                </pic:pic>
              </a:graphicData>
            </a:graphic>
          </wp:inline>
        </w:drawing>
      </w:r>
    </w:p>
    <w:p w14:paraId="697B3CAA" w14:textId="77777777" w:rsidR="00C9237B" w:rsidRDefault="00C9237B" w:rsidP="00C9237B">
      <w:pPr>
        <w:spacing w:line="360" w:lineRule="auto"/>
        <w:rPr>
          <w:rFonts w:ascii="宋体" w:hAnsi="宋体"/>
          <w:kern w:val="0"/>
          <w:lang w:eastAsia="zh-Hans"/>
        </w:rPr>
      </w:pPr>
      <w:r>
        <w:rPr>
          <w:rFonts w:ascii="宋体" w:hAnsi="宋体" w:hint="eastAsia"/>
        </w:rPr>
        <w:t>注：</w:t>
      </w:r>
      <w:r>
        <w:rPr>
          <w:rFonts w:ascii="宋体" w:hAnsi="宋体" w:hint="eastAsia"/>
          <w:lang w:eastAsia="zh-Hans"/>
        </w:rPr>
        <w:t xml:space="preserve">本基金基金合同生效日为2020年3月12日，图示日期为2020年3月12日至2022年12月31日。本基金自2022年4月11日起增设E份额。 </w:t>
      </w:r>
    </w:p>
    <w:p w14:paraId="138CCAE6" w14:textId="77777777" w:rsidR="00706097" w:rsidRPr="00C9237B" w:rsidRDefault="00706097">
      <w:pPr>
        <w:snapToGrid w:val="0"/>
        <w:spacing w:line="360" w:lineRule="auto"/>
        <w:ind w:firstLineChars="200" w:firstLine="420"/>
        <w:rPr>
          <w:rFonts w:ascii="宋体" w:hAnsi="宋体"/>
          <w:bCs/>
          <w:szCs w:val="21"/>
        </w:rPr>
      </w:pPr>
    </w:p>
    <w:p w14:paraId="1B5099EC" w14:textId="77777777" w:rsidR="00706097" w:rsidRDefault="00706097">
      <w:pPr>
        <w:snapToGrid w:val="0"/>
        <w:spacing w:line="360" w:lineRule="auto"/>
        <w:ind w:firstLineChars="200" w:firstLine="420"/>
        <w:rPr>
          <w:rFonts w:ascii="宋体" w:hAnsi="宋体"/>
          <w:bCs/>
          <w:szCs w:val="21"/>
        </w:rPr>
      </w:pPr>
    </w:p>
    <w:p w14:paraId="7E2DA755" w14:textId="77777777" w:rsidR="00706097" w:rsidRDefault="00706097">
      <w:pPr>
        <w:snapToGrid w:val="0"/>
        <w:spacing w:line="360" w:lineRule="auto"/>
        <w:ind w:firstLineChars="200" w:firstLine="420"/>
        <w:rPr>
          <w:rFonts w:ascii="宋体" w:hAnsi="宋体"/>
          <w:bCs/>
          <w:szCs w:val="21"/>
        </w:rPr>
      </w:pPr>
    </w:p>
    <w:p w14:paraId="3879555A" w14:textId="77777777" w:rsidR="00706097" w:rsidRDefault="00706097">
      <w:pPr>
        <w:snapToGrid w:val="0"/>
        <w:spacing w:line="360" w:lineRule="auto"/>
        <w:ind w:firstLineChars="200" w:firstLine="420"/>
        <w:rPr>
          <w:rFonts w:ascii="宋体" w:hAnsi="宋体"/>
          <w:bCs/>
          <w:szCs w:val="21"/>
        </w:rPr>
      </w:pPr>
    </w:p>
    <w:p w14:paraId="21CC1FB6" w14:textId="77777777" w:rsidR="00706097" w:rsidRDefault="00706097">
      <w:pPr>
        <w:snapToGrid w:val="0"/>
        <w:spacing w:line="360" w:lineRule="auto"/>
        <w:ind w:firstLineChars="200" w:firstLine="420"/>
        <w:rPr>
          <w:rFonts w:ascii="宋体" w:hAnsi="宋体"/>
          <w:bCs/>
          <w:szCs w:val="21"/>
        </w:rPr>
      </w:pPr>
    </w:p>
    <w:p w14:paraId="2EE93D92" w14:textId="77777777" w:rsidR="00706097" w:rsidRDefault="00706097">
      <w:pPr>
        <w:snapToGrid w:val="0"/>
        <w:spacing w:line="360" w:lineRule="auto"/>
        <w:ind w:firstLineChars="200" w:firstLine="420"/>
        <w:rPr>
          <w:rFonts w:ascii="宋体" w:hAnsi="宋体"/>
          <w:bCs/>
          <w:szCs w:val="21"/>
        </w:rPr>
      </w:pPr>
    </w:p>
    <w:p w14:paraId="44EBC336" w14:textId="77777777" w:rsidR="00706097" w:rsidRDefault="00706097">
      <w:pPr>
        <w:snapToGrid w:val="0"/>
        <w:spacing w:line="360" w:lineRule="auto"/>
        <w:ind w:firstLineChars="200" w:firstLine="420"/>
        <w:rPr>
          <w:rFonts w:ascii="宋体" w:hAnsi="宋体"/>
          <w:bCs/>
          <w:szCs w:val="21"/>
        </w:rPr>
      </w:pPr>
    </w:p>
    <w:p w14:paraId="23ACB8CC" w14:textId="77777777" w:rsidR="00706097" w:rsidRDefault="00706097">
      <w:pPr>
        <w:snapToGrid w:val="0"/>
        <w:spacing w:line="360" w:lineRule="auto"/>
        <w:ind w:firstLineChars="200" w:firstLine="420"/>
        <w:rPr>
          <w:rFonts w:ascii="宋体" w:hAnsi="宋体"/>
          <w:bCs/>
          <w:szCs w:val="21"/>
        </w:rPr>
      </w:pPr>
    </w:p>
    <w:p w14:paraId="343A3D35" w14:textId="77777777" w:rsidR="00706097" w:rsidRDefault="00706097">
      <w:pPr>
        <w:snapToGrid w:val="0"/>
        <w:spacing w:line="360" w:lineRule="auto"/>
        <w:ind w:firstLineChars="200" w:firstLine="420"/>
        <w:rPr>
          <w:rFonts w:ascii="宋体" w:hAnsi="宋体"/>
          <w:bCs/>
          <w:szCs w:val="21"/>
        </w:rPr>
      </w:pPr>
    </w:p>
    <w:p w14:paraId="1ABBFADB" w14:textId="77777777" w:rsidR="00C9237B" w:rsidRDefault="00C9237B">
      <w:pPr>
        <w:sectPr w:rsidR="00C9237B">
          <w:footerReference w:type="default" r:id="rId19"/>
          <w:footerReference w:type="first" r:id="rId20"/>
          <w:pgSz w:w="11906" w:h="16838"/>
          <w:pgMar w:top="1440" w:right="1800" w:bottom="1440" w:left="1800" w:header="851" w:footer="992" w:gutter="0"/>
          <w:pgNumType w:start="0"/>
          <w:cols w:space="425"/>
          <w:docGrid w:type="lines" w:linePitch="312"/>
        </w:sectPr>
      </w:pPr>
    </w:p>
    <w:p w14:paraId="394ADE97" w14:textId="3B4D2CC9" w:rsidR="00706097" w:rsidRDefault="00706097"/>
    <w:p w14:paraId="084A1383"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52" w:name="_Toc76483023"/>
      <w:r>
        <w:rPr>
          <w:rFonts w:ascii="宋体" w:eastAsia="宋体" w:hAnsi="宋体" w:hint="eastAsia"/>
        </w:rPr>
        <w:t>基金的财产</w:t>
      </w:r>
      <w:bookmarkEnd w:id="243"/>
      <w:bookmarkEnd w:id="244"/>
      <w:bookmarkEnd w:id="245"/>
      <w:bookmarkEnd w:id="246"/>
      <w:bookmarkEnd w:id="247"/>
      <w:bookmarkEnd w:id="248"/>
      <w:bookmarkEnd w:id="249"/>
      <w:bookmarkEnd w:id="252"/>
    </w:p>
    <w:p w14:paraId="1CDB351A" w14:textId="77777777" w:rsidR="00706097" w:rsidRDefault="00706097">
      <w:pPr>
        <w:adjustRightInd w:val="0"/>
        <w:snapToGrid w:val="0"/>
        <w:spacing w:line="360" w:lineRule="auto"/>
        <w:ind w:left="420"/>
        <w:rPr>
          <w:rFonts w:ascii="宋体" w:hAnsi="宋体"/>
          <w:b/>
          <w:bCs/>
        </w:rPr>
      </w:pPr>
    </w:p>
    <w:p w14:paraId="2090D5E1" w14:textId="77777777" w:rsidR="00706097" w:rsidRDefault="00DA6858">
      <w:pPr>
        <w:adjustRightInd w:val="0"/>
        <w:snapToGrid w:val="0"/>
        <w:spacing w:line="360" w:lineRule="auto"/>
        <w:ind w:firstLineChars="196" w:firstLine="413"/>
        <w:rPr>
          <w:rFonts w:ascii="宋体" w:hAnsi="宋体"/>
          <w:b/>
          <w:bCs/>
        </w:rPr>
      </w:pPr>
      <w:r>
        <w:rPr>
          <w:rFonts w:ascii="宋体" w:hAnsi="宋体" w:hint="eastAsia"/>
          <w:b/>
          <w:bCs/>
        </w:rPr>
        <w:t>一、基金资产总值</w:t>
      </w:r>
    </w:p>
    <w:p w14:paraId="6F69CB63"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基金资产总值是指</w:t>
      </w:r>
      <w:r>
        <w:rPr>
          <w:rFonts w:ascii="宋体" w:hAnsi="宋体" w:hint="eastAsia"/>
          <w:bCs/>
          <w:szCs w:val="21"/>
        </w:rPr>
        <w:t>购买</w:t>
      </w:r>
      <w:r>
        <w:rPr>
          <w:rFonts w:ascii="宋体" w:hAnsi="宋体"/>
          <w:bCs/>
          <w:szCs w:val="21"/>
        </w:rPr>
        <w:t>的各类证券及票据价值、银行存款本息和基金应收</w:t>
      </w:r>
      <w:r>
        <w:rPr>
          <w:rFonts w:ascii="宋体" w:hAnsi="宋体" w:hint="eastAsia"/>
          <w:bCs/>
          <w:szCs w:val="21"/>
        </w:rPr>
        <w:t>的申购基金</w:t>
      </w:r>
      <w:r>
        <w:rPr>
          <w:rFonts w:ascii="宋体" w:hAnsi="宋体"/>
          <w:bCs/>
          <w:szCs w:val="21"/>
        </w:rPr>
        <w:t>款以及其他投资所形成的价值总和。</w:t>
      </w:r>
    </w:p>
    <w:p w14:paraId="48AC8D13" w14:textId="77777777" w:rsidR="00706097" w:rsidRDefault="00706097">
      <w:pPr>
        <w:snapToGrid w:val="0"/>
        <w:spacing w:line="360" w:lineRule="auto"/>
        <w:ind w:firstLineChars="200" w:firstLine="420"/>
        <w:rPr>
          <w:rFonts w:ascii="宋体" w:hAnsi="宋体"/>
        </w:rPr>
      </w:pPr>
    </w:p>
    <w:p w14:paraId="1EACF256" w14:textId="77777777" w:rsidR="00706097" w:rsidRDefault="00DA6858">
      <w:pPr>
        <w:snapToGrid w:val="0"/>
        <w:spacing w:line="360" w:lineRule="auto"/>
        <w:ind w:firstLineChars="200" w:firstLine="422"/>
        <w:rPr>
          <w:rFonts w:ascii="宋体" w:hAnsi="宋体"/>
          <w:b/>
          <w:bCs/>
        </w:rPr>
      </w:pPr>
      <w:r>
        <w:rPr>
          <w:rFonts w:ascii="宋体" w:hAnsi="宋体" w:hint="eastAsia"/>
          <w:b/>
          <w:bCs/>
        </w:rPr>
        <w:t>二、基金资产净值</w:t>
      </w:r>
    </w:p>
    <w:p w14:paraId="6BD99E5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基金资产净值是指基金资产总值减去基金负债后的价值。</w:t>
      </w:r>
    </w:p>
    <w:p w14:paraId="169B516F" w14:textId="77777777" w:rsidR="00706097" w:rsidRDefault="00706097">
      <w:pPr>
        <w:snapToGrid w:val="0"/>
        <w:spacing w:line="360" w:lineRule="auto"/>
        <w:ind w:firstLineChars="200" w:firstLine="420"/>
        <w:rPr>
          <w:rFonts w:ascii="宋体" w:hAnsi="宋体"/>
        </w:rPr>
      </w:pPr>
    </w:p>
    <w:p w14:paraId="5F8FD83A" w14:textId="77777777" w:rsidR="00706097" w:rsidRDefault="00DA6858">
      <w:pPr>
        <w:snapToGrid w:val="0"/>
        <w:spacing w:line="360" w:lineRule="auto"/>
        <w:ind w:firstLineChars="200" w:firstLine="422"/>
        <w:rPr>
          <w:rFonts w:ascii="宋体" w:hAnsi="宋体"/>
          <w:b/>
          <w:bCs/>
        </w:rPr>
      </w:pPr>
      <w:r>
        <w:rPr>
          <w:rFonts w:ascii="宋体" w:hAnsi="宋体" w:hint="eastAsia"/>
          <w:b/>
          <w:bCs/>
        </w:rPr>
        <w:t>三、基金财产的账户</w:t>
      </w:r>
    </w:p>
    <w:p w14:paraId="2C671F2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基金托管人根据相关法律法规、规范性文件为本基金开立资金</w:t>
      </w:r>
      <w:r>
        <w:rPr>
          <w:rFonts w:ascii="宋体" w:hAnsi="宋体" w:hint="eastAsia"/>
          <w:bCs/>
          <w:szCs w:val="21"/>
        </w:rPr>
        <w:t>账户</w:t>
      </w:r>
      <w:r>
        <w:rPr>
          <w:rFonts w:ascii="宋体" w:hAnsi="宋体"/>
          <w:bCs/>
          <w:szCs w:val="21"/>
        </w:rPr>
        <w:t>、证券</w:t>
      </w:r>
      <w:r>
        <w:rPr>
          <w:rFonts w:ascii="宋体" w:hAnsi="宋体" w:hint="eastAsia"/>
          <w:bCs/>
          <w:szCs w:val="21"/>
        </w:rPr>
        <w:t>账户</w:t>
      </w:r>
      <w:r>
        <w:rPr>
          <w:rFonts w:ascii="宋体" w:hAnsi="宋体"/>
          <w:bCs/>
          <w:szCs w:val="21"/>
        </w:rPr>
        <w:t>以及投资所需的其他专用</w:t>
      </w:r>
      <w:r>
        <w:rPr>
          <w:rFonts w:ascii="宋体" w:hAnsi="宋体" w:hint="eastAsia"/>
          <w:bCs/>
          <w:szCs w:val="21"/>
        </w:rPr>
        <w:t>账户</w:t>
      </w:r>
      <w:r>
        <w:rPr>
          <w:rFonts w:ascii="宋体" w:hAnsi="宋体"/>
          <w:bCs/>
          <w:szCs w:val="21"/>
        </w:rPr>
        <w:t>。开立的基金专用账户与基金管理人、基金托管人、基金销售机构和基金登记机构自有的财产账户以及其他基金财产账户相独立。</w:t>
      </w:r>
    </w:p>
    <w:p w14:paraId="0B232590" w14:textId="77777777" w:rsidR="00706097" w:rsidRDefault="00706097">
      <w:pPr>
        <w:snapToGrid w:val="0"/>
        <w:spacing w:line="360" w:lineRule="auto"/>
        <w:ind w:firstLineChars="200" w:firstLine="420"/>
        <w:rPr>
          <w:rFonts w:ascii="宋体" w:hAnsi="宋体"/>
        </w:rPr>
      </w:pPr>
    </w:p>
    <w:p w14:paraId="5E64CB98" w14:textId="77777777" w:rsidR="00706097" w:rsidRDefault="00DA6858">
      <w:pPr>
        <w:snapToGrid w:val="0"/>
        <w:spacing w:line="360" w:lineRule="auto"/>
        <w:ind w:firstLineChars="200" w:firstLine="422"/>
        <w:rPr>
          <w:rFonts w:ascii="宋体" w:hAnsi="宋体"/>
          <w:b/>
          <w:bCs/>
        </w:rPr>
      </w:pPr>
      <w:r>
        <w:rPr>
          <w:rFonts w:ascii="宋体" w:hAnsi="宋体" w:hint="eastAsia"/>
          <w:b/>
          <w:bCs/>
        </w:rPr>
        <w:t>四、基金财产的保管和处分</w:t>
      </w:r>
    </w:p>
    <w:p w14:paraId="5BE36E98"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本基金财产独立于基金管理人、基金托管人和基金</w:t>
      </w:r>
      <w:r>
        <w:rPr>
          <w:rFonts w:ascii="宋体" w:hAnsi="宋体" w:hint="eastAsia"/>
          <w:szCs w:val="21"/>
        </w:rPr>
        <w:t>销售</w:t>
      </w:r>
      <w:r>
        <w:rPr>
          <w:rFonts w:ascii="宋体" w:hAnsi="宋体"/>
          <w:szCs w:val="21"/>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hAnsi="宋体"/>
          <w:szCs w:val="21"/>
        </w:rPr>
        <w:t>律法规</w:t>
      </w:r>
      <w:proofErr w:type="gramEnd"/>
      <w:r>
        <w:rPr>
          <w:rFonts w:ascii="宋体" w:hAnsi="宋体"/>
          <w:szCs w:val="21"/>
        </w:rPr>
        <w:t>和《基金合同》的规定处分外，基金财产不得被处分。</w:t>
      </w:r>
    </w:p>
    <w:p w14:paraId="3F169808" w14:textId="77777777" w:rsidR="00706097" w:rsidRDefault="00DA6858">
      <w:pPr>
        <w:snapToGrid w:val="0"/>
        <w:spacing w:line="360" w:lineRule="auto"/>
        <w:ind w:firstLineChars="200" w:firstLine="420"/>
        <w:rPr>
          <w:rFonts w:ascii="宋体" w:hAnsi="宋体"/>
          <w:bCs/>
          <w:szCs w:val="21"/>
        </w:rPr>
      </w:pPr>
      <w:r>
        <w:rPr>
          <w:rFonts w:ascii="宋体" w:hAnsi="宋体"/>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hAnsi="宋体"/>
          <w:szCs w:val="21"/>
        </w:rPr>
        <w:t>抵销</w:t>
      </w:r>
      <w:proofErr w:type="gramEnd"/>
      <w:r>
        <w:rPr>
          <w:rFonts w:ascii="宋体" w:hAnsi="宋体"/>
          <w:szCs w:val="21"/>
        </w:rPr>
        <w:t>；基金管理人管理运作不同基金的基金财产所产生的债权债务不得相互</w:t>
      </w:r>
      <w:proofErr w:type="gramStart"/>
      <w:r>
        <w:rPr>
          <w:rFonts w:ascii="宋体" w:hAnsi="宋体"/>
          <w:szCs w:val="21"/>
        </w:rPr>
        <w:t>抵销</w:t>
      </w:r>
      <w:proofErr w:type="gramEnd"/>
      <w:r>
        <w:rPr>
          <w:rFonts w:ascii="宋体" w:hAnsi="宋体"/>
          <w:szCs w:val="21"/>
        </w:rPr>
        <w:t>。</w:t>
      </w:r>
      <w:r>
        <w:rPr>
          <w:rFonts w:ascii="宋体" w:hAnsi="宋体" w:hint="eastAsia"/>
          <w:bCs/>
          <w:szCs w:val="21"/>
        </w:rPr>
        <w:t>非因基金财产本身承担的债务，不得对基金财产强制执行。</w:t>
      </w:r>
    </w:p>
    <w:p w14:paraId="60D34A70" w14:textId="77777777" w:rsidR="00706097" w:rsidRDefault="00706097">
      <w:pPr>
        <w:snapToGrid w:val="0"/>
        <w:spacing w:line="360" w:lineRule="auto"/>
        <w:ind w:firstLineChars="200" w:firstLine="420"/>
        <w:rPr>
          <w:rFonts w:ascii="宋体" w:hAnsi="宋体"/>
        </w:rPr>
      </w:pPr>
    </w:p>
    <w:p w14:paraId="24DB9B3B" w14:textId="77777777" w:rsidR="00706097" w:rsidRDefault="00DA6858">
      <w:pPr>
        <w:pStyle w:val="ab"/>
        <w:snapToGrid w:val="0"/>
        <w:spacing w:line="360" w:lineRule="auto"/>
        <w:ind w:firstLineChars="200"/>
        <w:rPr>
          <w:rFonts w:ascii="宋体" w:hAnsi="宋体"/>
          <w:szCs w:val="23"/>
        </w:rPr>
      </w:pPr>
      <w:r>
        <w:rPr>
          <w:rFonts w:ascii="宋体" w:hAnsi="宋体"/>
          <w:kern w:val="0"/>
        </w:rPr>
        <w:br w:type="page"/>
      </w:r>
    </w:p>
    <w:p w14:paraId="17DEF988"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53" w:name="_Toc360793503"/>
      <w:bookmarkStart w:id="254" w:name="_Toc360793855"/>
      <w:bookmarkStart w:id="255" w:name="_Toc360794413"/>
      <w:bookmarkStart w:id="256" w:name="_Toc360794521"/>
      <w:bookmarkStart w:id="257" w:name="_Toc362533460"/>
      <w:bookmarkStart w:id="258" w:name="_Toc362455188"/>
      <w:bookmarkStart w:id="259" w:name="_Toc360794105"/>
      <w:bookmarkStart w:id="260" w:name="_Toc76483024"/>
      <w:r>
        <w:rPr>
          <w:rFonts w:ascii="宋体" w:eastAsia="宋体" w:hAnsi="宋体" w:hint="eastAsia"/>
        </w:rPr>
        <w:lastRenderedPageBreak/>
        <w:t>基金资产估值</w:t>
      </w:r>
      <w:bookmarkEnd w:id="253"/>
      <w:bookmarkEnd w:id="254"/>
      <w:bookmarkEnd w:id="255"/>
      <w:bookmarkEnd w:id="256"/>
      <w:bookmarkEnd w:id="257"/>
      <w:bookmarkEnd w:id="258"/>
      <w:bookmarkEnd w:id="259"/>
      <w:bookmarkEnd w:id="260"/>
    </w:p>
    <w:p w14:paraId="60179ABD" w14:textId="77777777" w:rsidR="00706097" w:rsidRDefault="00706097">
      <w:pPr>
        <w:snapToGrid w:val="0"/>
        <w:spacing w:line="360" w:lineRule="auto"/>
        <w:ind w:firstLineChars="200" w:firstLine="420"/>
        <w:rPr>
          <w:rFonts w:ascii="宋体" w:hAnsi="宋体"/>
          <w:bCs/>
          <w:szCs w:val="21"/>
        </w:rPr>
      </w:pPr>
    </w:p>
    <w:p w14:paraId="049837AE"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一、估值日</w:t>
      </w:r>
    </w:p>
    <w:p w14:paraId="5E9CBAB8"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本基金的估值日为本基金相关的证券交易场所的交易日以及国家法律法规规定需要对外披露基金净值的</w:t>
      </w:r>
      <w:proofErr w:type="gramStart"/>
      <w:r>
        <w:rPr>
          <w:rFonts w:ascii="宋体" w:hAnsi="宋体"/>
          <w:szCs w:val="21"/>
        </w:rPr>
        <w:t>非交易</w:t>
      </w:r>
      <w:proofErr w:type="gramEnd"/>
      <w:r>
        <w:rPr>
          <w:rFonts w:ascii="宋体" w:hAnsi="宋体"/>
          <w:szCs w:val="21"/>
        </w:rPr>
        <w:t>日。</w:t>
      </w:r>
    </w:p>
    <w:p w14:paraId="3DB3FAA3" w14:textId="77777777" w:rsidR="00706097" w:rsidRDefault="00706097">
      <w:pPr>
        <w:adjustRightInd w:val="0"/>
        <w:snapToGrid w:val="0"/>
        <w:spacing w:line="360" w:lineRule="auto"/>
        <w:ind w:firstLine="420"/>
        <w:rPr>
          <w:rFonts w:ascii="宋体" w:hAnsi="宋体"/>
          <w:szCs w:val="21"/>
        </w:rPr>
      </w:pPr>
    </w:p>
    <w:p w14:paraId="3CA3183B" w14:textId="77777777" w:rsidR="00706097" w:rsidRDefault="00DA6858">
      <w:pPr>
        <w:adjustRightInd w:val="0"/>
        <w:snapToGrid w:val="0"/>
        <w:spacing w:line="360" w:lineRule="auto"/>
        <w:ind w:firstLineChars="200" w:firstLine="422"/>
        <w:rPr>
          <w:rFonts w:ascii="宋体" w:hAnsi="宋体"/>
          <w:b/>
          <w:szCs w:val="21"/>
        </w:rPr>
      </w:pPr>
      <w:r>
        <w:rPr>
          <w:rFonts w:ascii="宋体" w:hAnsi="宋体" w:hint="eastAsia"/>
          <w:b/>
          <w:szCs w:val="21"/>
        </w:rPr>
        <w:t>二、估值对象</w:t>
      </w:r>
    </w:p>
    <w:p w14:paraId="57E5612E"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基金所拥有的</w:t>
      </w:r>
      <w:r>
        <w:rPr>
          <w:rFonts w:ascii="宋体" w:hAnsi="宋体"/>
          <w:szCs w:val="21"/>
        </w:rPr>
        <w:t>固定收益品种</w:t>
      </w:r>
      <w:r>
        <w:rPr>
          <w:rFonts w:ascii="宋体" w:hAnsi="宋体" w:hint="eastAsia"/>
          <w:szCs w:val="21"/>
        </w:rPr>
        <w:t>和银行存款本息、应收款项、其它投资等资产及负债。</w:t>
      </w:r>
    </w:p>
    <w:p w14:paraId="15CE0212" w14:textId="77777777" w:rsidR="00706097" w:rsidRDefault="00706097">
      <w:pPr>
        <w:adjustRightInd w:val="0"/>
        <w:snapToGrid w:val="0"/>
        <w:spacing w:line="360" w:lineRule="auto"/>
        <w:ind w:firstLine="420"/>
        <w:rPr>
          <w:rFonts w:ascii="宋体" w:hAnsi="宋体"/>
          <w:szCs w:val="21"/>
        </w:rPr>
      </w:pPr>
    </w:p>
    <w:p w14:paraId="1B3236A5" w14:textId="77777777" w:rsidR="00706097" w:rsidRDefault="00DA6858">
      <w:pPr>
        <w:adjustRightInd w:val="0"/>
        <w:snapToGrid w:val="0"/>
        <w:spacing w:line="360" w:lineRule="auto"/>
        <w:ind w:firstLineChars="200" w:firstLine="422"/>
        <w:rPr>
          <w:rFonts w:ascii="宋体" w:hAnsi="宋体"/>
          <w:b/>
          <w:szCs w:val="21"/>
        </w:rPr>
      </w:pPr>
      <w:r>
        <w:rPr>
          <w:rFonts w:ascii="宋体" w:hAnsi="宋体" w:hint="eastAsia"/>
          <w:b/>
          <w:szCs w:val="21"/>
        </w:rPr>
        <w:t>三、估值原则</w:t>
      </w:r>
    </w:p>
    <w:p w14:paraId="70672411"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基金管理人在确定相关金融资产和金融负债的公允价值时，应符合《企业会计准则》、监管部门有关规定。</w:t>
      </w:r>
    </w:p>
    <w:p w14:paraId="3FDF8EFF"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E7D98FC"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362FF46"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7E7E07E"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（三）如经济环境发生重大变化或证券发行人发生影响证券价格的重大事件，使潜在估值调整对前一估值日的基金资产净值的影响在0.25%以上的，应对估值进行调整并确定公允价值。</w:t>
      </w:r>
    </w:p>
    <w:p w14:paraId="159C273B" w14:textId="77777777" w:rsidR="00706097" w:rsidRDefault="00706097">
      <w:pPr>
        <w:spacing w:line="360" w:lineRule="auto"/>
        <w:ind w:firstLineChars="200" w:firstLine="480"/>
        <w:rPr>
          <w:rFonts w:ascii="宋体" w:hAnsi="宋体" w:cs="宋体"/>
          <w:bCs/>
          <w:sz w:val="24"/>
        </w:rPr>
      </w:pPr>
    </w:p>
    <w:p w14:paraId="2299B3D0"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四</w:t>
      </w:r>
      <w:r>
        <w:rPr>
          <w:rFonts w:ascii="宋体" w:hAnsi="宋体" w:hint="eastAsia"/>
          <w:b/>
          <w:szCs w:val="21"/>
        </w:rPr>
        <w:t>、估值方法</w:t>
      </w:r>
    </w:p>
    <w:p w14:paraId="7D9400EF" w14:textId="77777777" w:rsidR="00706097" w:rsidRDefault="00DA6858">
      <w:pPr>
        <w:adjustRightInd w:val="0"/>
        <w:snapToGrid w:val="0"/>
        <w:spacing w:line="360" w:lineRule="auto"/>
        <w:ind w:firstLine="420"/>
        <w:rPr>
          <w:rFonts w:ascii="宋体" w:hAnsi="宋体"/>
          <w:szCs w:val="21"/>
        </w:rPr>
      </w:pPr>
      <w:r>
        <w:rPr>
          <w:rFonts w:ascii="宋体" w:hAnsi="宋体"/>
          <w:szCs w:val="21"/>
        </w:rPr>
        <w:t>本节所称的固定收益品种，是指国债、地方政府债、央行票据、金融债、企 业债、公司债、中期票据、短期融资</w:t>
      </w:r>
      <w:proofErr w:type="gramStart"/>
      <w:r>
        <w:rPr>
          <w:rFonts w:ascii="宋体" w:hAnsi="宋体"/>
          <w:szCs w:val="21"/>
        </w:rPr>
        <w:t>券</w:t>
      </w:r>
      <w:proofErr w:type="gramEnd"/>
      <w:r>
        <w:rPr>
          <w:rFonts w:ascii="宋体" w:hAnsi="宋体"/>
          <w:szCs w:val="21"/>
        </w:rPr>
        <w:t>、超短期融资</w:t>
      </w:r>
      <w:proofErr w:type="gramStart"/>
      <w:r>
        <w:rPr>
          <w:rFonts w:ascii="宋体" w:hAnsi="宋体"/>
          <w:szCs w:val="21"/>
        </w:rPr>
        <w:t>券</w:t>
      </w:r>
      <w:proofErr w:type="gramEnd"/>
      <w:r>
        <w:rPr>
          <w:rFonts w:ascii="宋体" w:hAnsi="宋体"/>
          <w:szCs w:val="21"/>
        </w:rPr>
        <w:t>、公开发行的次级债、可 分离交易可转债</w:t>
      </w:r>
      <w:proofErr w:type="gramStart"/>
      <w:r>
        <w:rPr>
          <w:rFonts w:ascii="宋体" w:hAnsi="宋体"/>
          <w:szCs w:val="21"/>
        </w:rPr>
        <w:t>的纯债部分</w:t>
      </w:r>
      <w:proofErr w:type="gramEnd"/>
      <w:r>
        <w:rPr>
          <w:rFonts w:ascii="宋体" w:hAnsi="宋体"/>
          <w:szCs w:val="21"/>
        </w:rPr>
        <w:t xml:space="preserve">、资产支持证券、债券回购、银行存款、同业存单等。 </w:t>
      </w:r>
    </w:p>
    <w:p w14:paraId="31F4D0E1"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1、证券交易所上市的有价证券的估值</w:t>
      </w:r>
    </w:p>
    <w:p w14:paraId="17FE0B8D" w14:textId="77777777" w:rsidR="00706097" w:rsidRDefault="00DA6858">
      <w:pPr>
        <w:adjustRightInd w:val="0"/>
        <w:snapToGrid w:val="0"/>
        <w:spacing w:line="360" w:lineRule="auto"/>
        <w:ind w:firstLine="420"/>
        <w:rPr>
          <w:rFonts w:ascii="宋体" w:hAnsi="宋体"/>
          <w:szCs w:val="21"/>
        </w:rPr>
      </w:pPr>
      <w:r>
        <w:rPr>
          <w:rFonts w:ascii="宋体" w:hAnsi="宋体"/>
          <w:szCs w:val="21"/>
        </w:rPr>
        <w:t>（1）交易所上市的有价证券，以其估值日在证券交易所挂牌的市价（收盘价）估值；估值日无交易的，且最近交易日后经济环境未发生重大变化</w:t>
      </w:r>
      <w:r>
        <w:rPr>
          <w:rFonts w:ascii="宋体" w:hAnsi="宋体" w:hint="eastAsia"/>
          <w:szCs w:val="21"/>
        </w:rPr>
        <w:t>或</w:t>
      </w:r>
      <w:r>
        <w:rPr>
          <w:rFonts w:ascii="宋体" w:hAnsi="宋体"/>
          <w:szCs w:val="21"/>
        </w:rPr>
        <w:t>证券发行机构未发生影响证券价格的重大事件的，以最近交易日的市价（收盘价）估值；如最近交易日后经济环境发生了重大变化</w:t>
      </w:r>
      <w:r>
        <w:rPr>
          <w:rFonts w:ascii="宋体" w:hAnsi="宋体" w:hint="eastAsia"/>
          <w:szCs w:val="21"/>
        </w:rPr>
        <w:t>或</w:t>
      </w:r>
      <w:r>
        <w:rPr>
          <w:rFonts w:ascii="宋体" w:hAnsi="宋体"/>
          <w:szCs w:val="21"/>
        </w:rPr>
        <w:t>证券发行机构发生影响证券价格的重大事件的，可参考类似投资品种的现行市价及重大变化因素，调整最近交易市价，确定公允价格</w:t>
      </w:r>
      <w:r>
        <w:rPr>
          <w:rFonts w:ascii="宋体" w:hAnsi="宋体" w:hint="eastAsia"/>
          <w:szCs w:val="21"/>
        </w:rPr>
        <w:t>；</w:t>
      </w:r>
    </w:p>
    <w:p w14:paraId="080DE277" w14:textId="77777777" w:rsidR="00706097" w:rsidRDefault="00DA6858">
      <w:pPr>
        <w:adjustRightInd w:val="0"/>
        <w:snapToGrid w:val="0"/>
        <w:spacing w:line="360" w:lineRule="auto"/>
        <w:ind w:firstLine="420"/>
        <w:rPr>
          <w:rFonts w:ascii="宋体" w:hAnsi="宋体"/>
          <w:szCs w:val="21"/>
        </w:rPr>
      </w:pPr>
      <w:r>
        <w:rPr>
          <w:rFonts w:ascii="宋体" w:hAnsi="宋体"/>
          <w:szCs w:val="21"/>
        </w:rPr>
        <w:t>（2）交易所上市交易或挂牌转让的不含</w:t>
      </w:r>
      <w:proofErr w:type="gramStart"/>
      <w:r>
        <w:rPr>
          <w:rFonts w:ascii="宋体" w:hAnsi="宋体"/>
          <w:szCs w:val="21"/>
        </w:rPr>
        <w:t>权固定</w:t>
      </w:r>
      <w:proofErr w:type="gramEnd"/>
      <w:r>
        <w:rPr>
          <w:rFonts w:ascii="宋体" w:hAnsi="宋体"/>
          <w:szCs w:val="21"/>
        </w:rPr>
        <w:t>收益品种，选取估值日第三方估值机构提供的相应品种当日的估值净价进行估值；</w:t>
      </w:r>
    </w:p>
    <w:p w14:paraId="17B5923A" w14:textId="77777777" w:rsidR="00706097" w:rsidRDefault="00DA6858">
      <w:pPr>
        <w:adjustRightInd w:val="0"/>
        <w:snapToGrid w:val="0"/>
        <w:spacing w:line="360" w:lineRule="auto"/>
        <w:ind w:firstLine="420"/>
        <w:rPr>
          <w:rFonts w:ascii="宋体" w:hAnsi="宋体"/>
          <w:szCs w:val="21"/>
        </w:rPr>
      </w:pPr>
      <w:r>
        <w:rPr>
          <w:rFonts w:ascii="宋体" w:hAnsi="宋体"/>
          <w:szCs w:val="21"/>
        </w:rPr>
        <w:t>（3）交易所上市交易或挂牌转让的含</w:t>
      </w:r>
      <w:proofErr w:type="gramStart"/>
      <w:r>
        <w:rPr>
          <w:rFonts w:ascii="宋体" w:hAnsi="宋体"/>
          <w:szCs w:val="21"/>
        </w:rPr>
        <w:t>权固定</w:t>
      </w:r>
      <w:proofErr w:type="gramEnd"/>
      <w:r>
        <w:rPr>
          <w:rFonts w:ascii="宋体" w:hAnsi="宋体"/>
          <w:szCs w:val="21"/>
        </w:rPr>
        <w:t>收益品种，选取估值日第三方估值机构提供的相应品种当日的唯一估值净价或推荐估值净价进行估值；</w:t>
      </w:r>
    </w:p>
    <w:p w14:paraId="2BB767E1" w14:textId="77777777" w:rsidR="00706097" w:rsidRDefault="00DA6858">
      <w:pPr>
        <w:adjustRightInd w:val="0"/>
        <w:snapToGrid w:val="0"/>
        <w:spacing w:line="360" w:lineRule="auto"/>
        <w:ind w:firstLine="420"/>
        <w:rPr>
          <w:rFonts w:ascii="宋体" w:hAnsi="宋体"/>
          <w:szCs w:val="21"/>
        </w:rPr>
      </w:pPr>
      <w:r>
        <w:rPr>
          <w:rFonts w:ascii="宋体" w:hAnsi="宋体"/>
          <w:szCs w:val="21"/>
        </w:rPr>
        <w:t>（4）交易所上市交易的可转换债券</w:t>
      </w:r>
      <w:r>
        <w:rPr>
          <w:rFonts w:ascii="宋体" w:hAnsi="宋体" w:hint="eastAsia"/>
          <w:szCs w:val="21"/>
        </w:rPr>
        <w:t>以每日收盘价作为估值全价；</w:t>
      </w:r>
    </w:p>
    <w:p w14:paraId="3618EE0B" w14:textId="77777777" w:rsidR="00706097" w:rsidRDefault="00DA6858">
      <w:pPr>
        <w:adjustRightInd w:val="0"/>
        <w:snapToGrid w:val="0"/>
        <w:spacing w:line="360" w:lineRule="auto"/>
        <w:ind w:firstLine="420"/>
        <w:rPr>
          <w:rFonts w:ascii="宋体" w:hAnsi="宋体"/>
          <w:szCs w:val="21"/>
        </w:rPr>
      </w:pPr>
      <w:r>
        <w:rPr>
          <w:rFonts w:ascii="宋体" w:hAnsi="宋体"/>
          <w:szCs w:val="21"/>
        </w:rPr>
        <w:t>（</w:t>
      </w:r>
      <w:r>
        <w:rPr>
          <w:rFonts w:ascii="宋体" w:hAnsi="宋体" w:hint="eastAsia"/>
          <w:szCs w:val="21"/>
        </w:rPr>
        <w:t>5</w:t>
      </w:r>
      <w:r>
        <w:rPr>
          <w:rFonts w:ascii="宋体" w:hAnsi="宋体"/>
          <w:szCs w:val="21"/>
        </w:rPr>
        <w:t>）交易所上市不存在活跃市场的有价证券，采用估值技术确定公允价值。</w:t>
      </w:r>
      <w:r>
        <w:rPr>
          <w:rFonts w:ascii="宋体" w:hAnsi="宋体" w:hint="eastAsia"/>
          <w:szCs w:val="21"/>
        </w:rPr>
        <w:t>交易所市场挂牌转让</w:t>
      </w:r>
      <w:r>
        <w:rPr>
          <w:rFonts w:ascii="宋体" w:hAnsi="宋体"/>
          <w:szCs w:val="21"/>
        </w:rPr>
        <w:t>的资产支持证券，采用估值技术确定公允价值</w:t>
      </w:r>
      <w:r>
        <w:rPr>
          <w:rFonts w:ascii="宋体" w:hAnsi="宋体" w:hint="eastAsia"/>
          <w:szCs w:val="21"/>
        </w:rPr>
        <w:t>；</w:t>
      </w:r>
    </w:p>
    <w:p w14:paraId="7570E486" w14:textId="77777777" w:rsidR="00706097" w:rsidRDefault="00DA6858">
      <w:pPr>
        <w:adjustRightInd w:val="0"/>
        <w:snapToGrid w:val="0"/>
        <w:spacing w:line="360" w:lineRule="auto"/>
        <w:ind w:firstLine="420"/>
        <w:rPr>
          <w:rFonts w:ascii="宋体" w:hAnsi="宋体"/>
          <w:szCs w:val="21"/>
        </w:rPr>
      </w:pPr>
      <w:r>
        <w:rPr>
          <w:rFonts w:ascii="宋体" w:hAnsi="宋体"/>
          <w:szCs w:val="21"/>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w:t>
      </w:r>
      <w:r>
        <w:rPr>
          <w:rFonts w:ascii="宋体" w:hAnsi="宋体" w:hint="eastAsia"/>
          <w:szCs w:val="21"/>
        </w:rPr>
        <w:t>市场活动</w:t>
      </w:r>
      <w:r>
        <w:rPr>
          <w:rFonts w:ascii="宋体" w:hAnsi="宋体"/>
          <w:szCs w:val="21"/>
        </w:rPr>
        <w:t>或市场活动很少的情况下，应采用估值技术确定其公允价值。</w:t>
      </w:r>
    </w:p>
    <w:p w14:paraId="06FBE24B" w14:textId="77777777" w:rsidR="00706097" w:rsidRDefault="00DA6858">
      <w:pPr>
        <w:adjustRightInd w:val="0"/>
        <w:snapToGrid w:val="0"/>
        <w:spacing w:line="360" w:lineRule="auto"/>
        <w:ind w:firstLine="420"/>
        <w:rPr>
          <w:rFonts w:ascii="宋体" w:hAnsi="宋体"/>
          <w:szCs w:val="21"/>
        </w:rPr>
      </w:pPr>
      <w:r>
        <w:rPr>
          <w:rFonts w:ascii="宋体" w:hAnsi="宋体"/>
          <w:szCs w:val="21"/>
        </w:rPr>
        <w:t>2、首次公开发行未上市的债券，采用估值技术确定公允价值，在估值技术难以可靠计量公允价值的情况下，按成本估值。</w:t>
      </w:r>
    </w:p>
    <w:p w14:paraId="0825033C" w14:textId="77777777" w:rsidR="00706097" w:rsidRDefault="00DA6858">
      <w:pPr>
        <w:adjustRightInd w:val="0"/>
        <w:snapToGrid w:val="0"/>
        <w:spacing w:line="360" w:lineRule="auto"/>
        <w:ind w:firstLine="420"/>
        <w:rPr>
          <w:rFonts w:ascii="宋体" w:hAnsi="宋体"/>
          <w:szCs w:val="21"/>
        </w:rPr>
      </w:pPr>
      <w:r>
        <w:rPr>
          <w:rFonts w:ascii="宋体" w:hAnsi="宋体"/>
          <w:szCs w:val="21"/>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w:t>
      </w:r>
      <w:r>
        <w:rPr>
          <w:rFonts w:ascii="宋体" w:hAnsi="宋体" w:hint="eastAsia"/>
          <w:szCs w:val="21"/>
        </w:rPr>
        <w:t>期</w:t>
      </w:r>
      <w:r>
        <w:rPr>
          <w:rFonts w:ascii="宋体" w:hAnsi="宋体"/>
          <w:szCs w:val="21"/>
        </w:rPr>
        <w:t>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0EF9B9D1" w14:textId="77777777" w:rsidR="00706097" w:rsidRDefault="00DA6858">
      <w:pPr>
        <w:adjustRightInd w:val="0"/>
        <w:snapToGrid w:val="0"/>
        <w:spacing w:line="360" w:lineRule="auto"/>
        <w:ind w:firstLine="420"/>
        <w:rPr>
          <w:rFonts w:ascii="宋体" w:hAnsi="宋体"/>
          <w:szCs w:val="21"/>
        </w:rPr>
      </w:pPr>
      <w:r>
        <w:rPr>
          <w:rFonts w:ascii="宋体" w:hAnsi="宋体"/>
          <w:szCs w:val="21"/>
        </w:rPr>
        <w:t xml:space="preserve">4、同一债券同时在两个或两个以上市场交易的，按债券所处的市场分别估值。 </w:t>
      </w:r>
    </w:p>
    <w:p w14:paraId="1D5A3010" w14:textId="77777777" w:rsidR="00706097" w:rsidRDefault="00DA6858">
      <w:pPr>
        <w:adjustRightInd w:val="0"/>
        <w:snapToGrid w:val="0"/>
        <w:spacing w:line="360" w:lineRule="auto"/>
        <w:ind w:firstLine="420"/>
        <w:rPr>
          <w:rFonts w:ascii="宋体" w:hAnsi="宋体"/>
          <w:szCs w:val="21"/>
        </w:rPr>
      </w:pPr>
      <w:r>
        <w:rPr>
          <w:rFonts w:ascii="宋体" w:hAnsi="宋体"/>
          <w:szCs w:val="21"/>
        </w:rPr>
        <w:t xml:space="preserve">5、持有的银行定期存款或通知存款以本金列示，按相应利率逐日计提利息。 </w:t>
      </w:r>
    </w:p>
    <w:p w14:paraId="27F2A4F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6</w:t>
      </w:r>
      <w:r>
        <w:rPr>
          <w:rFonts w:ascii="宋体" w:hAnsi="宋体"/>
          <w:szCs w:val="21"/>
        </w:rPr>
        <w:t xml:space="preserve">、如有确凿证据表明按上述方法进行估值不能客观反映其公允价值的，基金管理人可根据具体情况与基金托管人商定后，按最能反映公允价值的价格估值。 </w:t>
      </w:r>
    </w:p>
    <w:p w14:paraId="22AE5DD6"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7</w:t>
      </w:r>
      <w:r>
        <w:rPr>
          <w:rFonts w:ascii="宋体" w:hAnsi="宋体"/>
          <w:szCs w:val="21"/>
        </w:rPr>
        <w:t xml:space="preserve">、当发生大额申购或赎回情形时，基金管理人可以采用摆动定价机制，以确保基金估值的公平性。 </w:t>
      </w:r>
    </w:p>
    <w:p w14:paraId="16529BA2"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8</w:t>
      </w:r>
      <w:r>
        <w:rPr>
          <w:rFonts w:ascii="宋体" w:hAnsi="宋体"/>
          <w:szCs w:val="21"/>
        </w:rPr>
        <w:t xml:space="preserve">、相关法律法规以及监管部门有强制规定的，从其规定。如有新增事项， 按国家最新规定估值。 </w:t>
      </w:r>
    </w:p>
    <w:p w14:paraId="7A2954DD" w14:textId="77777777" w:rsidR="00706097" w:rsidRDefault="00DA6858">
      <w:pPr>
        <w:adjustRightInd w:val="0"/>
        <w:snapToGrid w:val="0"/>
        <w:spacing w:line="360" w:lineRule="auto"/>
        <w:ind w:firstLine="420"/>
        <w:rPr>
          <w:rFonts w:ascii="宋体" w:hAnsi="宋体"/>
          <w:szCs w:val="21"/>
        </w:rPr>
      </w:pPr>
      <w:r>
        <w:rPr>
          <w:rFonts w:ascii="宋体" w:hAnsi="宋体"/>
          <w:szCs w:val="21"/>
        </w:rPr>
        <w:t>如基金管理人或基金托管人发现基金估值违反基金合同订明的估值方法、程 序及相关</w:t>
      </w:r>
      <w:r>
        <w:rPr>
          <w:rFonts w:ascii="宋体" w:hAnsi="宋体"/>
          <w:szCs w:val="21"/>
        </w:rPr>
        <w:lastRenderedPageBreak/>
        <w:t xml:space="preserve">法律法规的规定或者未能充分维护基金份额持有人利益时，应立即通知 对方，共同查明原因，双方协商解决。 </w:t>
      </w:r>
    </w:p>
    <w:p w14:paraId="1EA99946" w14:textId="77777777" w:rsidR="00706097" w:rsidRDefault="00DA6858">
      <w:pPr>
        <w:adjustRightInd w:val="0"/>
        <w:snapToGrid w:val="0"/>
        <w:spacing w:line="360" w:lineRule="auto"/>
        <w:ind w:firstLine="420"/>
        <w:rPr>
          <w:rFonts w:ascii="宋体" w:hAnsi="宋体"/>
          <w:szCs w:val="21"/>
        </w:rPr>
      </w:pPr>
      <w:r>
        <w:rPr>
          <w:rFonts w:ascii="宋体" w:hAnsi="宋体"/>
          <w:szCs w:val="21"/>
        </w:rPr>
        <w:t>根据有关法律法规，基金资产净值计算和基金会计核算的义务由基金管理人 承担。本基金的基金会计责任方由基金管理人担任，因此，就与本基金有关的会计问题，如经相关各方在平等基础上充分讨论后，仍无法达成一致的意见，按照 基金管理人对基金资产净值的计算结果对外予以公布。</w:t>
      </w:r>
    </w:p>
    <w:p w14:paraId="6B69D6FD" w14:textId="77777777" w:rsidR="00706097" w:rsidRDefault="00706097">
      <w:pPr>
        <w:adjustRightInd w:val="0"/>
        <w:snapToGrid w:val="0"/>
        <w:spacing w:line="360" w:lineRule="auto"/>
        <w:ind w:firstLineChars="200" w:firstLine="422"/>
        <w:rPr>
          <w:rFonts w:ascii="宋体" w:hAnsi="宋体"/>
          <w:b/>
          <w:szCs w:val="21"/>
        </w:rPr>
      </w:pPr>
    </w:p>
    <w:p w14:paraId="56698977"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五</w:t>
      </w:r>
      <w:r>
        <w:rPr>
          <w:rFonts w:ascii="宋体" w:hAnsi="宋体" w:hint="eastAsia"/>
          <w:b/>
          <w:szCs w:val="21"/>
        </w:rPr>
        <w:t>、估值程序</w:t>
      </w:r>
    </w:p>
    <w:p w14:paraId="29CB8741"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各类基金份额的基金份额净值是按照每个工作日闭市后，该类基金份额的资产净值除以当日该类基金份额的基金份额余额数量计算，精确到</w:t>
      </w:r>
      <w:r>
        <w:rPr>
          <w:rFonts w:ascii="宋体" w:hAnsi="宋体"/>
          <w:szCs w:val="21"/>
        </w:rPr>
        <w:t>0.0001</w:t>
      </w:r>
      <w:r>
        <w:rPr>
          <w:rFonts w:ascii="宋体" w:hAnsi="宋体" w:hint="eastAsia"/>
          <w:szCs w:val="21"/>
        </w:rPr>
        <w:t>元，小数点后第</w:t>
      </w:r>
      <w:r>
        <w:rPr>
          <w:rFonts w:ascii="宋体" w:hAnsi="宋体"/>
          <w:szCs w:val="21"/>
        </w:rPr>
        <w:t>5</w:t>
      </w:r>
      <w:r>
        <w:rPr>
          <w:rFonts w:ascii="宋体" w:hAnsi="宋体" w:hint="eastAsia"/>
          <w:szCs w:val="21"/>
        </w:rPr>
        <w:t>位四舍五入。基金管理人可以设立大额赎回情形下的净值精度应急调整机制。国家另有规定的，从其规定。</w:t>
      </w:r>
    </w:p>
    <w:p w14:paraId="0010871C"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基金管理人每个工作日计算基金资产净值及各类基金份额的基金份额净值，并按规定公告。</w:t>
      </w:r>
    </w:p>
    <w:p w14:paraId="151BDD05"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2、基金管理人</w:t>
      </w:r>
      <w:proofErr w:type="gramStart"/>
      <w:r>
        <w:rPr>
          <w:rFonts w:ascii="宋体" w:hAnsi="宋体"/>
          <w:szCs w:val="21"/>
        </w:rPr>
        <w:t>应每个</w:t>
      </w:r>
      <w:proofErr w:type="gramEnd"/>
      <w:r>
        <w:rPr>
          <w:rFonts w:ascii="宋体" w:hAnsi="宋体"/>
          <w:szCs w:val="21"/>
        </w:rPr>
        <w:t>工作日对基金资产估值。但基金管理人根据法律法规或基金合同的规定暂停估值时除外。基金管理人每个工作日对基金资产估值后，将各类基金份额的基金份额净值结果发送基金托管人，经基金托管人复核无误后，由基金管理人</w:t>
      </w:r>
      <w:r>
        <w:rPr>
          <w:rFonts w:ascii="宋体" w:hAnsi="宋体" w:hint="eastAsia"/>
          <w:szCs w:val="21"/>
        </w:rPr>
        <w:t>按约定</w:t>
      </w:r>
      <w:r>
        <w:rPr>
          <w:rFonts w:ascii="宋体" w:hAnsi="宋体"/>
          <w:szCs w:val="21"/>
        </w:rPr>
        <w:t>对外公布。</w:t>
      </w:r>
    </w:p>
    <w:p w14:paraId="68FAC3DC" w14:textId="77777777" w:rsidR="00706097" w:rsidRDefault="00706097">
      <w:pPr>
        <w:spacing w:line="360" w:lineRule="auto"/>
        <w:ind w:firstLineChars="200" w:firstLine="480"/>
        <w:rPr>
          <w:rFonts w:ascii="宋体" w:hAnsi="宋体" w:cs="宋体"/>
          <w:bCs/>
          <w:sz w:val="24"/>
        </w:rPr>
      </w:pPr>
    </w:p>
    <w:p w14:paraId="7738BB82" w14:textId="77777777" w:rsidR="00706097" w:rsidRDefault="00DA6858">
      <w:pPr>
        <w:adjustRightInd w:val="0"/>
        <w:snapToGrid w:val="0"/>
        <w:spacing w:line="360" w:lineRule="auto"/>
        <w:ind w:firstLineChars="200" w:firstLine="422"/>
        <w:rPr>
          <w:rFonts w:ascii="宋体" w:hAnsi="宋体"/>
          <w:b/>
          <w:szCs w:val="21"/>
        </w:rPr>
      </w:pPr>
      <w:r>
        <w:rPr>
          <w:rFonts w:ascii="宋体" w:hAnsi="宋体" w:hint="eastAsia"/>
          <w:b/>
          <w:szCs w:val="21"/>
        </w:rPr>
        <w:t>六、估值错误的处理</w:t>
      </w:r>
    </w:p>
    <w:p w14:paraId="567E6A21"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基金管理人和基金托管人将采取必要、适当、合理的措施确保基金资产估值的准确性、及时性。当基金份额净值小数点后</w:t>
      </w:r>
      <w:r>
        <w:rPr>
          <w:rFonts w:ascii="宋体" w:hAnsi="宋体"/>
          <w:szCs w:val="21"/>
        </w:rPr>
        <w:t>4</w:t>
      </w:r>
      <w:r>
        <w:rPr>
          <w:rFonts w:ascii="宋体" w:hAnsi="宋体" w:hint="eastAsia"/>
          <w:szCs w:val="21"/>
        </w:rPr>
        <w:t>位以内</w:t>
      </w:r>
      <w:r>
        <w:rPr>
          <w:rFonts w:ascii="宋体" w:hAnsi="宋体"/>
          <w:szCs w:val="21"/>
        </w:rPr>
        <w:t>（含</w:t>
      </w:r>
      <w:r>
        <w:rPr>
          <w:rFonts w:ascii="宋体" w:hAnsi="宋体" w:hint="eastAsia"/>
          <w:szCs w:val="21"/>
        </w:rPr>
        <w:t>第</w:t>
      </w:r>
      <w:r>
        <w:rPr>
          <w:rFonts w:ascii="宋体" w:hAnsi="宋体"/>
          <w:szCs w:val="21"/>
        </w:rPr>
        <w:t>4</w:t>
      </w:r>
      <w:r>
        <w:rPr>
          <w:rFonts w:ascii="宋体" w:hAnsi="宋体" w:hint="eastAsia"/>
          <w:szCs w:val="21"/>
        </w:rPr>
        <w:t>位</w:t>
      </w:r>
      <w:r>
        <w:rPr>
          <w:rFonts w:ascii="宋体" w:hAnsi="宋体"/>
          <w:szCs w:val="21"/>
        </w:rPr>
        <w:t>）发生</w:t>
      </w:r>
      <w:r>
        <w:rPr>
          <w:rFonts w:ascii="宋体" w:hAnsi="宋体" w:hint="eastAsia"/>
          <w:szCs w:val="21"/>
        </w:rPr>
        <w:t>估值错误</w:t>
      </w:r>
      <w:r>
        <w:rPr>
          <w:rFonts w:ascii="宋体" w:hAnsi="宋体"/>
          <w:szCs w:val="21"/>
        </w:rPr>
        <w:t>时，视为</w:t>
      </w:r>
      <w:r>
        <w:rPr>
          <w:rFonts w:ascii="宋体" w:hAnsi="宋体" w:hint="eastAsia"/>
          <w:szCs w:val="21"/>
        </w:rPr>
        <w:t>基金份额净值</w:t>
      </w:r>
      <w:r>
        <w:rPr>
          <w:rFonts w:ascii="宋体" w:hAnsi="宋体"/>
          <w:szCs w:val="21"/>
        </w:rPr>
        <w:t>错误。</w:t>
      </w:r>
    </w:p>
    <w:p w14:paraId="4ABA503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基金合同的当事人应按照以下约定处理：</w:t>
      </w:r>
    </w:p>
    <w:p w14:paraId="68A48B8C" w14:textId="77777777" w:rsidR="00706097" w:rsidRDefault="00DA6858">
      <w:pPr>
        <w:adjustRightInd w:val="0"/>
        <w:snapToGrid w:val="0"/>
        <w:spacing w:line="360" w:lineRule="auto"/>
        <w:ind w:firstLine="420"/>
        <w:rPr>
          <w:rFonts w:ascii="宋体" w:hAnsi="宋体"/>
          <w:szCs w:val="21"/>
        </w:rPr>
      </w:pPr>
      <w:r>
        <w:rPr>
          <w:rFonts w:ascii="宋体" w:hAnsi="宋体"/>
          <w:szCs w:val="21"/>
        </w:rPr>
        <w:t>1、估值错误类型</w:t>
      </w:r>
    </w:p>
    <w:p w14:paraId="0B8A68D5"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宋体" w:hAnsi="宋体"/>
          <w:szCs w:val="21"/>
        </w:rPr>
        <w:t>（“受损方”）的直接损失按下述“估值错误处理原则”给予赔偿，承担赔偿责任。</w:t>
      </w:r>
    </w:p>
    <w:p w14:paraId="57E4673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上述估值错误的主要类型包括但不限于：资料申报差错、数据传输差错、数据计算差错、系统故障差错、下达指令差错等。</w:t>
      </w:r>
    </w:p>
    <w:p w14:paraId="70591095" w14:textId="77777777" w:rsidR="00706097" w:rsidRDefault="00DA6858">
      <w:pPr>
        <w:adjustRightInd w:val="0"/>
        <w:snapToGrid w:val="0"/>
        <w:spacing w:line="360" w:lineRule="auto"/>
        <w:ind w:firstLine="420"/>
        <w:rPr>
          <w:rFonts w:ascii="宋体" w:hAnsi="宋体"/>
          <w:szCs w:val="21"/>
        </w:rPr>
      </w:pPr>
      <w:r>
        <w:rPr>
          <w:rFonts w:ascii="宋体" w:hAnsi="宋体"/>
          <w:szCs w:val="21"/>
        </w:rPr>
        <w:t>2、估值错误处理原则</w:t>
      </w:r>
    </w:p>
    <w:p w14:paraId="23DE0F4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w:t>
      </w:r>
      <w:r>
        <w:rPr>
          <w:rFonts w:ascii="宋体" w:hAnsi="宋体"/>
          <w:szCs w:val="21"/>
        </w:rPr>
        <w:lastRenderedPageBreak/>
        <w:t>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FCE70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2）估值错误的责任方对有关当事人的直接损失负责，不对间接损失负责，并且仅对估值错误的有关直接当事人负责，不对第三方负责。</w:t>
      </w:r>
    </w:p>
    <w:p w14:paraId="39385914"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3）因估值错误而获得不当得利的当事人负有及时返还不当得利的义务。但估值错误责任方仍应对估值错误负责。如果由于获得不当得利的当事人</w:t>
      </w:r>
      <w:proofErr w:type="gramStart"/>
      <w:r>
        <w:rPr>
          <w:rFonts w:ascii="宋体" w:hAnsi="宋体"/>
          <w:szCs w:val="21"/>
        </w:rPr>
        <w:t>不</w:t>
      </w:r>
      <w:proofErr w:type="gramEnd"/>
      <w:r>
        <w:rPr>
          <w:rFonts w:ascii="宋体" w:hAnsi="宋体"/>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1BE2411"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4）估值错误调整采用尽量恢复至假设未发生估值错误的正确情形的方式。</w:t>
      </w:r>
    </w:p>
    <w:p w14:paraId="367A64D0" w14:textId="77777777" w:rsidR="00706097" w:rsidRDefault="00DA6858">
      <w:pPr>
        <w:adjustRightInd w:val="0"/>
        <w:snapToGrid w:val="0"/>
        <w:spacing w:line="360" w:lineRule="auto"/>
        <w:ind w:firstLine="420"/>
        <w:rPr>
          <w:rFonts w:ascii="宋体" w:hAnsi="宋体"/>
          <w:szCs w:val="21"/>
        </w:rPr>
      </w:pPr>
      <w:r>
        <w:rPr>
          <w:rFonts w:ascii="宋体" w:hAnsi="宋体"/>
          <w:szCs w:val="21"/>
        </w:rPr>
        <w:t>3、估值错误处理程序</w:t>
      </w:r>
    </w:p>
    <w:p w14:paraId="107A41B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估值错误被发现后，有关的当事人应当及时进行处理，处理的程序如下：</w:t>
      </w:r>
    </w:p>
    <w:p w14:paraId="3D383EF5"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1）查明估值错误发生的原因，列明所有的当事人，并根据估值错误发生的原因确定估值错误的责任方；</w:t>
      </w:r>
    </w:p>
    <w:p w14:paraId="31D4144C"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2）根据估值错误处理原则或当事人协商的方法对因估值错误造成的损失进行评估；</w:t>
      </w:r>
    </w:p>
    <w:p w14:paraId="301B728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3）根据估值错误处理原则或当事人协商的方法由估值错误的责任方进行更正和赔偿损失；</w:t>
      </w:r>
    </w:p>
    <w:p w14:paraId="2805E43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4）根据估值错误处理的方法，需要修改基金登记机构交易数据的，由基金登记机构进行更正，并就估值错误的更正向有关当事人进行确认。</w:t>
      </w:r>
    </w:p>
    <w:p w14:paraId="050FC6EE" w14:textId="77777777" w:rsidR="00706097" w:rsidRDefault="00DA6858">
      <w:pPr>
        <w:adjustRightInd w:val="0"/>
        <w:snapToGrid w:val="0"/>
        <w:spacing w:line="360" w:lineRule="auto"/>
        <w:ind w:firstLine="420"/>
        <w:rPr>
          <w:rFonts w:ascii="宋体" w:hAnsi="宋体"/>
          <w:szCs w:val="21"/>
        </w:rPr>
      </w:pPr>
      <w:r>
        <w:rPr>
          <w:rFonts w:ascii="宋体" w:hAnsi="宋体"/>
          <w:szCs w:val="21"/>
        </w:rPr>
        <w:t>4、基金份额净值估值错误处理的方法如下：</w:t>
      </w:r>
    </w:p>
    <w:p w14:paraId="494F427F"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1）基金份额净值计算出现错误时，基金管理人应当立即予以纠正，通报基金托管人，并采取合理的措施防止损失进一步扩大。</w:t>
      </w:r>
    </w:p>
    <w:p w14:paraId="00B6D829"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2）错误偏差达到基金份额净值的0.25%时，基金管理人应当通报基金托管人</w:t>
      </w:r>
      <w:r>
        <w:rPr>
          <w:rFonts w:ascii="宋体" w:hAnsi="宋体" w:hint="eastAsia"/>
          <w:szCs w:val="21"/>
        </w:rPr>
        <w:t>并报中国证监会备案</w:t>
      </w:r>
      <w:r>
        <w:rPr>
          <w:rFonts w:ascii="宋体" w:hAnsi="宋体"/>
          <w:szCs w:val="21"/>
        </w:rPr>
        <w:t>；错误偏差达到基金份额净值的0.5%时，基金管理人应当公告并报中国证监会备案。</w:t>
      </w:r>
    </w:p>
    <w:p w14:paraId="018F3E18"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）前述内容如法律法规或监管机关另有规定的，从其规定处理。如果行业另有通行做法，基金管理人和基金托管人应本着平等和保护基金份额持有人利益的原则进行协商。</w:t>
      </w:r>
    </w:p>
    <w:p w14:paraId="6F4DBDBD" w14:textId="77777777" w:rsidR="00706097" w:rsidRDefault="00706097">
      <w:pPr>
        <w:adjustRightInd w:val="0"/>
        <w:snapToGrid w:val="0"/>
        <w:spacing w:line="360" w:lineRule="auto"/>
        <w:ind w:firstLineChars="200" w:firstLine="422"/>
        <w:rPr>
          <w:rFonts w:ascii="宋体" w:hAnsi="宋体"/>
          <w:b/>
          <w:szCs w:val="21"/>
        </w:rPr>
      </w:pPr>
    </w:p>
    <w:p w14:paraId="1474E8A5"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七</w:t>
      </w:r>
      <w:r>
        <w:rPr>
          <w:rFonts w:ascii="宋体" w:hAnsi="宋体" w:hint="eastAsia"/>
          <w:b/>
          <w:szCs w:val="21"/>
        </w:rPr>
        <w:t>、暂停估值的情形</w:t>
      </w:r>
    </w:p>
    <w:p w14:paraId="640DB929"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1、基金投资所涉及的证券交易市场遇法定节假日或因其他原因暂停营业时；</w:t>
      </w:r>
    </w:p>
    <w:p w14:paraId="7D855513" w14:textId="77777777" w:rsidR="00706097" w:rsidRDefault="00DA6858">
      <w:pPr>
        <w:adjustRightInd w:val="0"/>
        <w:snapToGrid w:val="0"/>
        <w:spacing w:line="360" w:lineRule="auto"/>
        <w:ind w:firstLine="420"/>
        <w:rPr>
          <w:rFonts w:ascii="宋体" w:hAnsi="宋体"/>
          <w:szCs w:val="21"/>
        </w:rPr>
      </w:pPr>
      <w:r>
        <w:rPr>
          <w:rFonts w:ascii="宋体" w:hAnsi="宋体"/>
          <w:szCs w:val="21"/>
        </w:rPr>
        <w:t>2、因不可抗力致使基金管理人、基金托管人无法准确评估基金资产价值时；</w:t>
      </w:r>
    </w:p>
    <w:p w14:paraId="7F1DAB6A"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3、</w:t>
      </w:r>
      <w:r>
        <w:rPr>
          <w:rFonts w:ascii="宋体" w:hAnsi="宋体" w:hint="eastAsia"/>
          <w:szCs w:val="21"/>
        </w:rPr>
        <w:t>当特定资产占前一估值日基金资产净值50%以上的</w:t>
      </w:r>
      <w:r>
        <w:rPr>
          <w:rFonts w:ascii="宋体" w:hAnsi="宋体"/>
          <w:szCs w:val="21"/>
        </w:rPr>
        <w:t>，</w:t>
      </w:r>
      <w:r>
        <w:rPr>
          <w:rFonts w:ascii="宋体" w:hAnsi="宋体" w:hint="eastAsia"/>
          <w:szCs w:val="21"/>
        </w:rPr>
        <w:t>经与基金托管人协商确认后，基金管理人应当暂停</w:t>
      </w:r>
      <w:r>
        <w:rPr>
          <w:rFonts w:ascii="宋体" w:hAnsi="宋体"/>
          <w:szCs w:val="21"/>
        </w:rPr>
        <w:t>估值</w:t>
      </w:r>
      <w:r>
        <w:rPr>
          <w:rFonts w:ascii="宋体" w:hAnsi="宋体" w:hint="eastAsia"/>
          <w:szCs w:val="21"/>
        </w:rPr>
        <w:t>；</w:t>
      </w:r>
    </w:p>
    <w:p w14:paraId="304608E8" w14:textId="77777777" w:rsidR="00706097" w:rsidRDefault="00DA6858">
      <w:pPr>
        <w:adjustRightInd w:val="0"/>
        <w:snapToGrid w:val="0"/>
        <w:spacing w:line="360" w:lineRule="auto"/>
        <w:ind w:firstLine="420"/>
        <w:rPr>
          <w:rFonts w:ascii="宋体" w:hAnsi="宋体"/>
          <w:szCs w:val="21"/>
        </w:rPr>
      </w:pPr>
      <w:r>
        <w:rPr>
          <w:rFonts w:ascii="宋体" w:hAnsi="宋体"/>
          <w:szCs w:val="21"/>
        </w:rPr>
        <w:t>4</w:t>
      </w:r>
      <w:r>
        <w:rPr>
          <w:rFonts w:ascii="宋体" w:hAnsi="宋体" w:hint="eastAsia"/>
          <w:szCs w:val="21"/>
        </w:rPr>
        <w:t>、中国证监会和基金合同认定的其它情形。</w:t>
      </w:r>
    </w:p>
    <w:p w14:paraId="09D06874" w14:textId="77777777" w:rsidR="00706097" w:rsidRDefault="00706097">
      <w:pPr>
        <w:spacing w:line="360" w:lineRule="auto"/>
        <w:ind w:firstLineChars="200" w:firstLine="480"/>
        <w:rPr>
          <w:rFonts w:ascii="宋体" w:hAnsi="宋体" w:cs="宋体"/>
          <w:bCs/>
          <w:sz w:val="24"/>
        </w:rPr>
      </w:pPr>
    </w:p>
    <w:p w14:paraId="1B43D826"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八</w:t>
      </w:r>
      <w:r>
        <w:rPr>
          <w:rFonts w:ascii="宋体" w:hAnsi="宋体" w:hint="eastAsia"/>
          <w:b/>
          <w:szCs w:val="21"/>
        </w:rPr>
        <w:t>、基金净值的确认</w:t>
      </w:r>
    </w:p>
    <w:p w14:paraId="14C7F184"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资产净值和各类基金份额的基金份额净值由基金管理人负责计算，基金托管人负责进行复核。基金管理人应于每个开放日交易结束后计算当日的基金资产净值和各类基金份额的基金份额净值并发送给基金托管人。基金托管人对净值计算结果复核确认后发送给基金管理人，由基金管理人对基金净值予以公布。</w:t>
      </w:r>
    </w:p>
    <w:p w14:paraId="558901E9" w14:textId="77777777" w:rsidR="00706097" w:rsidRDefault="00706097">
      <w:pPr>
        <w:spacing w:line="360" w:lineRule="auto"/>
        <w:ind w:firstLineChars="200" w:firstLine="480"/>
        <w:rPr>
          <w:rFonts w:ascii="宋体" w:hAnsi="宋体" w:cs="宋体"/>
          <w:bCs/>
          <w:sz w:val="24"/>
        </w:rPr>
      </w:pPr>
    </w:p>
    <w:p w14:paraId="041B20E3"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九</w:t>
      </w:r>
      <w:r>
        <w:rPr>
          <w:rFonts w:ascii="宋体" w:hAnsi="宋体" w:hint="eastAsia"/>
          <w:b/>
          <w:szCs w:val="21"/>
        </w:rPr>
        <w:t>、特殊情况的处理</w:t>
      </w:r>
    </w:p>
    <w:p w14:paraId="1FC964C1"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1、基金管理人或基金托管人按估值方法的</w:t>
      </w:r>
      <w:r>
        <w:rPr>
          <w:rFonts w:ascii="宋体" w:hAnsi="宋体" w:hint="eastAsia"/>
          <w:szCs w:val="21"/>
        </w:rPr>
        <w:t>第6项进行估值时，所造成的误差不作为基金资产估值错误处理。</w:t>
      </w:r>
    </w:p>
    <w:p w14:paraId="0C2B141D" w14:textId="77777777" w:rsidR="00706097" w:rsidRDefault="00DA6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由于不可抗力，或证券交易所、证券登记结算机构或存款银行等第三方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BAF4166" w14:textId="77777777" w:rsidR="00706097" w:rsidRDefault="00706097">
      <w:pPr>
        <w:snapToGrid w:val="0"/>
        <w:spacing w:line="360" w:lineRule="auto"/>
        <w:ind w:firstLineChars="200" w:firstLine="420"/>
        <w:rPr>
          <w:bCs/>
          <w:szCs w:val="21"/>
        </w:rPr>
      </w:pPr>
    </w:p>
    <w:p w14:paraId="3D6CCDFB" w14:textId="77777777" w:rsidR="00706097" w:rsidRDefault="00DA6858">
      <w:pPr>
        <w:adjustRightInd w:val="0"/>
        <w:snapToGrid w:val="0"/>
        <w:spacing w:line="360" w:lineRule="auto"/>
        <w:ind w:firstLineChars="200" w:firstLine="422"/>
        <w:rPr>
          <w:rFonts w:ascii="宋体" w:hAnsi="宋体"/>
          <w:b/>
          <w:szCs w:val="21"/>
        </w:rPr>
      </w:pPr>
      <w:r>
        <w:rPr>
          <w:rFonts w:ascii="宋体" w:hAnsi="宋体" w:hint="eastAsia"/>
          <w:b/>
          <w:szCs w:val="21"/>
        </w:rPr>
        <w:t>十、实施</w:t>
      </w:r>
      <w:proofErr w:type="gramStart"/>
      <w:r>
        <w:rPr>
          <w:rFonts w:ascii="宋体" w:hAnsi="宋体" w:hint="eastAsia"/>
          <w:b/>
          <w:szCs w:val="21"/>
        </w:rPr>
        <w:t>侧袋机制</w:t>
      </w:r>
      <w:proofErr w:type="gramEnd"/>
      <w:r>
        <w:rPr>
          <w:rFonts w:ascii="宋体" w:hAnsi="宋体" w:hint="eastAsia"/>
          <w:b/>
          <w:szCs w:val="21"/>
        </w:rPr>
        <w:t>期间的基金资产估值</w:t>
      </w:r>
    </w:p>
    <w:p w14:paraId="1226EDA1" w14:textId="77777777" w:rsidR="00706097" w:rsidRDefault="00DA6858">
      <w:pPr>
        <w:snapToGrid w:val="0"/>
        <w:spacing w:line="360" w:lineRule="auto"/>
        <w:ind w:firstLineChars="200" w:firstLine="420"/>
        <w:rPr>
          <w:bCs/>
          <w:szCs w:val="21"/>
        </w:rPr>
      </w:pPr>
      <w:r>
        <w:rPr>
          <w:rFonts w:hint="eastAsia"/>
          <w:bCs/>
          <w:szCs w:val="21"/>
        </w:rPr>
        <w:t>本基金实施</w:t>
      </w:r>
      <w:proofErr w:type="gramStart"/>
      <w:r>
        <w:rPr>
          <w:rFonts w:hint="eastAsia"/>
          <w:bCs/>
          <w:szCs w:val="21"/>
        </w:rPr>
        <w:t>侧袋机制</w:t>
      </w:r>
      <w:proofErr w:type="gramEnd"/>
      <w:r>
        <w:rPr>
          <w:rFonts w:hint="eastAsia"/>
          <w:bCs/>
          <w:szCs w:val="21"/>
        </w:rPr>
        <w:t>的，应根据本部分的约定</w:t>
      </w:r>
      <w:proofErr w:type="gramStart"/>
      <w:r>
        <w:rPr>
          <w:rFonts w:hint="eastAsia"/>
          <w:bCs/>
          <w:szCs w:val="21"/>
        </w:rPr>
        <w:t>对主袋账户</w:t>
      </w:r>
      <w:proofErr w:type="gramEnd"/>
      <w:r>
        <w:rPr>
          <w:rFonts w:hint="eastAsia"/>
          <w:bCs/>
          <w:szCs w:val="21"/>
        </w:rPr>
        <w:t>资产进行估值并</w:t>
      </w:r>
      <w:proofErr w:type="gramStart"/>
      <w:r>
        <w:rPr>
          <w:rFonts w:hint="eastAsia"/>
          <w:bCs/>
          <w:szCs w:val="21"/>
        </w:rPr>
        <w:t>披露主袋账户</w:t>
      </w:r>
      <w:proofErr w:type="gramEnd"/>
      <w:r>
        <w:rPr>
          <w:rFonts w:hint="eastAsia"/>
          <w:bCs/>
          <w:szCs w:val="21"/>
        </w:rPr>
        <w:t>的基金净值信息，暂停</w:t>
      </w:r>
      <w:proofErr w:type="gramStart"/>
      <w:r>
        <w:rPr>
          <w:rFonts w:hint="eastAsia"/>
          <w:bCs/>
          <w:szCs w:val="21"/>
        </w:rPr>
        <w:t>披露侧袋账户</w:t>
      </w:r>
      <w:proofErr w:type="gramEnd"/>
      <w:r>
        <w:rPr>
          <w:rFonts w:hint="eastAsia"/>
          <w:bCs/>
          <w:szCs w:val="21"/>
        </w:rPr>
        <w:t>份额净值。</w:t>
      </w:r>
    </w:p>
    <w:p w14:paraId="7A76EBFD" w14:textId="77777777" w:rsidR="00706097" w:rsidRDefault="00DA6858">
      <w:pPr>
        <w:snapToGrid w:val="0"/>
        <w:spacing w:line="360" w:lineRule="auto"/>
        <w:ind w:firstLineChars="200" w:firstLine="482"/>
        <w:rPr>
          <w:rFonts w:ascii="宋体" w:hAnsi="宋体"/>
        </w:rPr>
      </w:pPr>
      <w:r>
        <w:rPr>
          <w:rFonts w:ascii="宋体" w:hAnsi="宋体"/>
          <w:b/>
          <w:bCs/>
          <w:kern w:val="0"/>
          <w:sz w:val="24"/>
          <w:szCs w:val="21"/>
        </w:rPr>
        <w:br w:type="page"/>
      </w:r>
    </w:p>
    <w:p w14:paraId="3F483315"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61" w:name="_Toc360793504"/>
      <w:bookmarkStart w:id="262" w:name="_Toc360794414"/>
      <w:bookmarkStart w:id="263" w:name="_Toc360793856"/>
      <w:bookmarkStart w:id="264" w:name="_Toc360794106"/>
      <w:bookmarkStart w:id="265" w:name="_Toc362455189"/>
      <w:bookmarkStart w:id="266" w:name="_Toc76483025"/>
      <w:bookmarkStart w:id="267" w:name="_Toc362533461"/>
      <w:bookmarkStart w:id="268" w:name="_Toc360794522"/>
      <w:r>
        <w:rPr>
          <w:rFonts w:ascii="宋体" w:eastAsia="宋体" w:hAnsi="宋体" w:hint="eastAsia"/>
        </w:rPr>
        <w:lastRenderedPageBreak/>
        <w:t>基金的收益与分配</w:t>
      </w:r>
      <w:bookmarkEnd w:id="261"/>
      <w:bookmarkEnd w:id="262"/>
      <w:bookmarkEnd w:id="263"/>
      <w:bookmarkEnd w:id="264"/>
      <w:bookmarkEnd w:id="265"/>
      <w:bookmarkEnd w:id="266"/>
      <w:bookmarkEnd w:id="267"/>
      <w:bookmarkEnd w:id="268"/>
    </w:p>
    <w:p w14:paraId="4FDC954E" w14:textId="77777777" w:rsidR="00706097" w:rsidRDefault="00706097">
      <w:pPr>
        <w:snapToGrid w:val="0"/>
        <w:spacing w:line="360" w:lineRule="auto"/>
        <w:ind w:firstLineChars="200" w:firstLine="422"/>
        <w:rPr>
          <w:rFonts w:ascii="宋体" w:hAnsi="宋体"/>
          <w:b/>
          <w:bCs/>
        </w:rPr>
      </w:pPr>
    </w:p>
    <w:p w14:paraId="5C58A1A8" w14:textId="77777777" w:rsidR="00706097" w:rsidRDefault="00DA6858">
      <w:pPr>
        <w:snapToGrid w:val="0"/>
        <w:spacing w:line="360" w:lineRule="auto"/>
        <w:ind w:firstLineChars="200" w:firstLine="422"/>
        <w:rPr>
          <w:rFonts w:ascii="宋体" w:hAnsi="宋体"/>
          <w:b/>
          <w:bCs/>
        </w:rPr>
      </w:pPr>
      <w:r>
        <w:rPr>
          <w:rFonts w:ascii="宋体" w:hAnsi="宋体" w:hint="eastAsia"/>
          <w:b/>
          <w:bCs/>
        </w:rPr>
        <w:t>一、基金利润的构成</w:t>
      </w:r>
    </w:p>
    <w:p w14:paraId="4F3E9F71" w14:textId="77777777" w:rsidR="00706097" w:rsidRDefault="00DA6858">
      <w:pPr>
        <w:snapToGrid w:val="0"/>
        <w:spacing w:line="360" w:lineRule="auto"/>
        <w:ind w:firstLineChars="225" w:firstLine="473"/>
        <w:rPr>
          <w:rFonts w:ascii="宋体" w:hAnsi="宋体"/>
          <w:bCs/>
          <w:szCs w:val="21"/>
        </w:rPr>
      </w:pPr>
      <w:r>
        <w:rPr>
          <w:rFonts w:ascii="宋体" w:hAnsi="宋体"/>
          <w:bCs/>
          <w:szCs w:val="21"/>
        </w:rPr>
        <w:t>基金利润指基金利息收入、投资收益、公允价值变动收益和其他收入扣除相关费用后的余额，基金已实现收益指基金利润减去公允价值变动收益后的余额。</w:t>
      </w:r>
    </w:p>
    <w:p w14:paraId="3077A418" w14:textId="77777777" w:rsidR="00706097" w:rsidRDefault="00706097">
      <w:pPr>
        <w:snapToGrid w:val="0"/>
        <w:spacing w:line="360" w:lineRule="auto"/>
        <w:ind w:firstLineChars="225" w:firstLine="473"/>
        <w:rPr>
          <w:rFonts w:ascii="宋体" w:hAnsi="宋体"/>
          <w:bCs/>
          <w:szCs w:val="21"/>
        </w:rPr>
      </w:pPr>
    </w:p>
    <w:p w14:paraId="78DEF1B9" w14:textId="77777777" w:rsidR="00706097" w:rsidRDefault="00DA6858">
      <w:pPr>
        <w:snapToGrid w:val="0"/>
        <w:spacing w:line="360" w:lineRule="auto"/>
        <w:ind w:firstLineChars="225" w:firstLine="474"/>
        <w:rPr>
          <w:rFonts w:ascii="宋体" w:hAnsi="宋体"/>
          <w:b/>
          <w:bCs/>
          <w:szCs w:val="21"/>
        </w:rPr>
      </w:pPr>
      <w:r>
        <w:rPr>
          <w:rFonts w:ascii="宋体" w:hAnsi="宋体"/>
          <w:b/>
          <w:bCs/>
          <w:szCs w:val="21"/>
        </w:rPr>
        <w:t>二、基金可供分配利润</w:t>
      </w:r>
    </w:p>
    <w:p w14:paraId="1BEC5194" w14:textId="77777777" w:rsidR="00706097" w:rsidRDefault="00DA6858">
      <w:pPr>
        <w:snapToGrid w:val="0"/>
        <w:spacing w:line="360" w:lineRule="auto"/>
        <w:ind w:firstLineChars="225" w:firstLine="473"/>
        <w:rPr>
          <w:rFonts w:ascii="宋体" w:hAnsi="宋体"/>
          <w:bCs/>
          <w:szCs w:val="21"/>
        </w:rPr>
      </w:pPr>
      <w:r>
        <w:rPr>
          <w:rFonts w:ascii="宋体" w:hAnsi="宋体"/>
          <w:bCs/>
          <w:szCs w:val="21"/>
        </w:rPr>
        <w:t>基金可供分配利润指截至收益分配基准日基金未分配利润与未分配利润中已实现收益的孰低数。</w:t>
      </w:r>
    </w:p>
    <w:p w14:paraId="5402488C" w14:textId="77777777" w:rsidR="00706097" w:rsidRDefault="00706097">
      <w:pPr>
        <w:snapToGrid w:val="0"/>
        <w:spacing w:line="360" w:lineRule="auto"/>
        <w:ind w:firstLineChars="225" w:firstLine="473"/>
        <w:rPr>
          <w:rFonts w:ascii="宋体" w:hAnsi="宋体"/>
          <w:bCs/>
          <w:szCs w:val="21"/>
        </w:rPr>
      </w:pPr>
    </w:p>
    <w:p w14:paraId="76A5FC05" w14:textId="77777777" w:rsidR="00706097" w:rsidRDefault="00DA6858">
      <w:pPr>
        <w:snapToGrid w:val="0"/>
        <w:spacing w:line="360" w:lineRule="auto"/>
        <w:ind w:firstLineChars="225" w:firstLine="474"/>
        <w:rPr>
          <w:rFonts w:ascii="宋体" w:hAnsi="宋体"/>
          <w:b/>
          <w:bCs/>
          <w:szCs w:val="21"/>
        </w:rPr>
      </w:pPr>
      <w:r>
        <w:rPr>
          <w:rFonts w:ascii="宋体" w:hAnsi="宋体"/>
          <w:b/>
          <w:bCs/>
          <w:szCs w:val="21"/>
        </w:rPr>
        <w:t>三、基金收益分配原则</w:t>
      </w:r>
    </w:p>
    <w:p w14:paraId="58C251DD"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szCs w:val="21"/>
        </w:rPr>
        <w:t>1、在符合有关基金分红条件的前提下，</w:t>
      </w:r>
      <w:r>
        <w:rPr>
          <w:rFonts w:ascii="宋体" w:hAnsi="宋体" w:hint="eastAsia"/>
          <w:bCs/>
          <w:szCs w:val="21"/>
        </w:rPr>
        <w:t>基金管理人可以根据实际情况进行收益分配，</w:t>
      </w:r>
      <w:r>
        <w:rPr>
          <w:rFonts w:ascii="宋体" w:hAnsi="宋体"/>
          <w:bCs/>
          <w:szCs w:val="21"/>
        </w:rPr>
        <w:t>若《基金合同》生效不满3个月可不进行收益分配</w:t>
      </w:r>
      <w:r>
        <w:rPr>
          <w:rFonts w:ascii="宋体" w:hAnsi="宋体" w:hint="eastAsia"/>
          <w:bCs/>
          <w:szCs w:val="21"/>
        </w:rPr>
        <w:t>，具体分配方案以公告为准；</w:t>
      </w:r>
    </w:p>
    <w:p w14:paraId="31CB637A"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hint="eastAsia"/>
          <w:bCs/>
          <w:szCs w:val="21"/>
        </w:rPr>
        <w:t>2、本基金收益分配方式分两种：现金分红与红利再投资，投资者可选择现金红利或将现金红利自动转为相应类别的基金份额进行再投资；若投资者不选择，本基金默认的收益分配方式是现金分红；</w:t>
      </w:r>
    </w:p>
    <w:p w14:paraId="62B41124"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hint="eastAsia"/>
          <w:bCs/>
          <w:szCs w:val="21"/>
        </w:rPr>
        <w:t>3、基金收益分配后基金份额净值不能低于面值，即基金收益分配基准日的基金份额净值减去每单位基金份额收益分配金额后不能低于面值；</w:t>
      </w:r>
    </w:p>
    <w:p w14:paraId="31027968"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由于本基金</w:t>
      </w:r>
      <w:r>
        <w:rPr>
          <w:rFonts w:ascii="宋体" w:hAnsi="宋体" w:hint="eastAsia"/>
          <w:bCs/>
          <w:szCs w:val="21"/>
        </w:rPr>
        <w:t>各类基金份额收取费用的不同，各基金份额类别对应的可供分配利润将有所不同，本基金同一类别的每一基金份额享有同等分配权；</w:t>
      </w:r>
    </w:p>
    <w:p w14:paraId="46F850C4"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hint="eastAsia"/>
          <w:bCs/>
          <w:szCs w:val="21"/>
        </w:rPr>
        <w:t>5、法律法规或监管机关另有规定的，从其规定。</w:t>
      </w:r>
    </w:p>
    <w:p w14:paraId="3F3F3BB5" w14:textId="77777777" w:rsidR="00706097" w:rsidRDefault="00DA6858">
      <w:pPr>
        <w:adjustRightInd w:val="0"/>
        <w:snapToGrid w:val="0"/>
        <w:spacing w:line="360" w:lineRule="auto"/>
        <w:ind w:firstLineChars="200" w:firstLine="420"/>
        <w:rPr>
          <w:rFonts w:ascii="宋体" w:hAnsi="宋体"/>
          <w:bCs/>
          <w:szCs w:val="21"/>
        </w:rPr>
      </w:pPr>
      <w:r>
        <w:rPr>
          <w:rFonts w:ascii="宋体" w:hAnsi="宋体"/>
          <w:bCs/>
          <w:szCs w:val="21"/>
        </w:rPr>
        <w:t>在符合法律法规及基金合同约定，并对基金份额持有人利益无实质不利影响的前提下，基金管理人可对基金收益分配原则和支付方式进行调整，不需召开基金份额持有人大会。</w:t>
      </w:r>
    </w:p>
    <w:p w14:paraId="77E253AF" w14:textId="77777777" w:rsidR="00706097" w:rsidRDefault="00706097">
      <w:pPr>
        <w:snapToGrid w:val="0"/>
        <w:spacing w:line="360" w:lineRule="auto"/>
        <w:ind w:firstLineChars="225" w:firstLine="473"/>
        <w:rPr>
          <w:rFonts w:ascii="宋体" w:hAnsi="宋体"/>
          <w:bCs/>
          <w:szCs w:val="21"/>
        </w:rPr>
      </w:pPr>
    </w:p>
    <w:p w14:paraId="40B164F9" w14:textId="77777777" w:rsidR="00706097" w:rsidRDefault="00DA6858">
      <w:pPr>
        <w:snapToGrid w:val="0"/>
        <w:spacing w:line="360" w:lineRule="auto"/>
        <w:ind w:firstLineChars="225" w:firstLine="474"/>
        <w:rPr>
          <w:rFonts w:ascii="宋体" w:hAnsi="宋体"/>
          <w:b/>
          <w:bCs/>
          <w:szCs w:val="21"/>
        </w:rPr>
      </w:pPr>
      <w:r>
        <w:rPr>
          <w:rFonts w:ascii="宋体" w:hAnsi="宋体"/>
          <w:b/>
          <w:bCs/>
          <w:szCs w:val="21"/>
        </w:rPr>
        <w:t>四、收益分配方案</w:t>
      </w:r>
    </w:p>
    <w:p w14:paraId="707B7CCB" w14:textId="77777777" w:rsidR="00706097" w:rsidRDefault="00DA6858">
      <w:pPr>
        <w:snapToGrid w:val="0"/>
        <w:spacing w:line="360" w:lineRule="auto"/>
        <w:ind w:firstLineChars="225" w:firstLine="473"/>
        <w:rPr>
          <w:rFonts w:ascii="宋体" w:hAnsi="宋体"/>
          <w:bCs/>
          <w:szCs w:val="21"/>
        </w:rPr>
      </w:pPr>
      <w:r>
        <w:rPr>
          <w:rFonts w:ascii="宋体" w:hAnsi="宋体"/>
          <w:bCs/>
          <w:szCs w:val="21"/>
        </w:rPr>
        <w:t>基金收益分配方案中应载明截止收益分配基准日的可供分配利润、基金收益分配对象、分配时间、分配数额及比例、分配方式等内容。</w:t>
      </w:r>
    </w:p>
    <w:p w14:paraId="4C6F7DDE" w14:textId="77777777" w:rsidR="00706097" w:rsidRDefault="00706097">
      <w:pPr>
        <w:snapToGrid w:val="0"/>
        <w:spacing w:line="360" w:lineRule="auto"/>
        <w:ind w:firstLineChars="225" w:firstLine="473"/>
        <w:rPr>
          <w:rFonts w:ascii="宋体" w:hAnsi="宋体"/>
          <w:bCs/>
          <w:szCs w:val="21"/>
        </w:rPr>
      </w:pPr>
    </w:p>
    <w:p w14:paraId="6C3C8CE1" w14:textId="77777777" w:rsidR="00706097" w:rsidRDefault="00DA6858">
      <w:pPr>
        <w:snapToGrid w:val="0"/>
        <w:spacing w:line="360" w:lineRule="auto"/>
        <w:ind w:firstLineChars="225" w:firstLine="474"/>
        <w:rPr>
          <w:rFonts w:ascii="宋体" w:hAnsi="宋体"/>
          <w:b/>
          <w:bCs/>
          <w:szCs w:val="21"/>
        </w:rPr>
      </w:pPr>
      <w:r>
        <w:rPr>
          <w:rFonts w:ascii="宋体" w:hAnsi="宋体"/>
          <w:b/>
          <w:bCs/>
          <w:szCs w:val="21"/>
        </w:rPr>
        <w:t>五、收益分配方案的确定、公告与实施</w:t>
      </w:r>
    </w:p>
    <w:p w14:paraId="69F58EC5" w14:textId="77777777" w:rsidR="00706097" w:rsidRDefault="00DA6858">
      <w:pPr>
        <w:adjustRightInd w:val="0"/>
        <w:snapToGrid w:val="0"/>
        <w:spacing w:line="360" w:lineRule="auto"/>
        <w:ind w:firstLineChars="200" w:firstLine="420"/>
        <w:rPr>
          <w:rFonts w:ascii="宋体" w:hAnsi="宋体"/>
          <w:szCs w:val="21"/>
        </w:rPr>
      </w:pPr>
      <w:r>
        <w:rPr>
          <w:rFonts w:ascii="宋体" w:hAnsi="宋体"/>
          <w:szCs w:val="21"/>
        </w:rPr>
        <w:t>本基金收益分配方案由基金管理人拟定，并由基金托管人复核，在2日内在指定媒介公告。</w:t>
      </w:r>
    </w:p>
    <w:p w14:paraId="0C72FF4D" w14:textId="77777777" w:rsidR="00706097" w:rsidRDefault="00706097">
      <w:pPr>
        <w:snapToGrid w:val="0"/>
        <w:spacing w:line="360" w:lineRule="auto"/>
        <w:ind w:firstLineChars="225" w:firstLine="473"/>
        <w:rPr>
          <w:rFonts w:ascii="宋体" w:hAnsi="宋体"/>
          <w:bCs/>
          <w:szCs w:val="21"/>
        </w:rPr>
      </w:pPr>
    </w:p>
    <w:p w14:paraId="32B8D762" w14:textId="77777777" w:rsidR="00706097" w:rsidRDefault="00DA6858">
      <w:pPr>
        <w:snapToGrid w:val="0"/>
        <w:spacing w:line="360" w:lineRule="auto"/>
        <w:ind w:firstLineChars="225" w:firstLine="474"/>
        <w:rPr>
          <w:rFonts w:ascii="宋体" w:hAnsi="宋体"/>
          <w:b/>
          <w:bCs/>
          <w:szCs w:val="21"/>
        </w:rPr>
      </w:pPr>
      <w:r>
        <w:rPr>
          <w:rFonts w:ascii="宋体" w:hAnsi="宋体"/>
          <w:b/>
          <w:bCs/>
          <w:szCs w:val="21"/>
        </w:rPr>
        <w:t>六、基金收益分配中发生的费用</w:t>
      </w:r>
    </w:p>
    <w:p w14:paraId="782B9D18" w14:textId="77777777" w:rsidR="00706097" w:rsidRDefault="00DA6858">
      <w:pPr>
        <w:snapToGrid w:val="0"/>
        <w:spacing w:line="360" w:lineRule="auto"/>
        <w:ind w:firstLineChars="225" w:firstLine="473"/>
        <w:rPr>
          <w:rFonts w:ascii="宋体" w:hAnsi="宋体"/>
          <w:szCs w:val="21"/>
        </w:rPr>
      </w:pPr>
      <w:r>
        <w:rPr>
          <w:rFonts w:ascii="宋体" w:hAnsi="宋体"/>
          <w:szCs w:val="21"/>
        </w:rPr>
        <w:lastRenderedPageBreak/>
        <w:t>基金收益分配时所发生的银行转账或其他手续费用由投资</w:t>
      </w:r>
      <w:r>
        <w:rPr>
          <w:rFonts w:ascii="宋体" w:hAnsi="宋体" w:hint="eastAsia"/>
          <w:szCs w:val="21"/>
        </w:rPr>
        <w:t>者</w:t>
      </w:r>
      <w:r>
        <w:rPr>
          <w:rFonts w:ascii="宋体" w:hAnsi="宋体"/>
          <w:szCs w:val="21"/>
        </w:rPr>
        <w:t>自行承担。当投资</w:t>
      </w:r>
      <w:r>
        <w:rPr>
          <w:rFonts w:ascii="宋体" w:hAnsi="宋体" w:hint="eastAsia"/>
          <w:szCs w:val="21"/>
        </w:rPr>
        <w:t>者</w:t>
      </w:r>
      <w:r>
        <w:rPr>
          <w:rFonts w:ascii="宋体" w:hAnsi="宋体"/>
          <w:szCs w:val="21"/>
        </w:rPr>
        <w:t>的现金红利小于一定金额，不足</w:t>
      </w:r>
      <w:r>
        <w:rPr>
          <w:rFonts w:ascii="宋体" w:hAnsi="宋体" w:hint="eastAsia"/>
          <w:szCs w:val="21"/>
        </w:rPr>
        <w:t>以</w:t>
      </w:r>
      <w:r>
        <w:rPr>
          <w:rFonts w:ascii="宋体" w:hAnsi="宋体"/>
          <w:szCs w:val="21"/>
        </w:rPr>
        <w:t>支付银行转账或其他手续费用时，基金登记机构可将基金份额持有人的现金红利自动转为</w:t>
      </w:r>
      <w:r>
        <w:rPr>
          <w:rFonts w:ascii="宋体" w:hAnsi="宋体" w:hint="eastAsia"/>
          <w:szCs w:val="21"/>
        </w:rPr>
        <w:t>相应类别</w:t>
      </w:r>
      <w:r>
        <w:rPr>
          <w:rFonts w:ascii="宋体" w:hAnsi="宋体"/>
          <w:szCs w:val="21"/>
        </w:rPr>
        <w:t>基金份额。红利再投资的计算方法，依照</w:t>
      </w:r>
      <w:r>
        <w:rPr>
          <w:rFonts w:ascii="宋体" w:hAnsi="宋体" w:hint="eastAsia"/>
          <w:szCs w:val="21"/>
        </w:rPr>
        <w:t>《业务规则》</w:t>
      </w:r>
      <w:r>
        <w:rPr>
          <w:rFonts w:ascii="宋体" w:hAnsi="宋体"/>
          <w:szCs w:val="21"/>
        </w:rPr>
        <w:t>执行。</w:t>
      </w:r>
    </w:p>
    <w:p w14:paraId="3C36A166" w14:textId="77777777" w:rsidR="00706097" w:rsidRDefault="00706097">
      <w:pPr>
        <w:snapToGrid w:val="0"/>
        <w:spacing w:line="360" w:lineRule="auto"/>
        <w:ind w:firstLineChars="225" w:firstLine="473"/>
        <w:rPr>
          <w:rFonts w:ascii="宋体" w:hAnsi="宋体"/>
          <w:bCs/>
          <w:szCs w:val="21"/>
        </w:rPr>
      </w:pPr>
    </w:p>
    <w:p w14:paraId="16DA8D50" w14:textId="77777777" w:rsidR="00706097" w:rsidRDefault="00DA6858">
      <w:pPr>
        <w:snapToGrid w:val="0"/>
        <w:spacing w:line="360" w:lineRule="auto"/>
        <w:ind w:firstLineChars="225" w:firstLine="474"/>
        <w:rPr>
          <w:rFonts w:ascii="宋体" w:hAnsi="宋体"/>
          <w:b/>
          <w:bCs/>
          <w:szCs w:val="21"/>
        </w:rPr>
      </w:pPr>
      <w:r>
        <w:rPr>
          <w:rFonts w:ascii="宋体" w:hAnsi="宋体" w:hint="eastAsia"/>
          <w:b/>
          <w:bCs/>
          <w:szCs w:val="21"/>
        </w:rPr>
        <w:t>七、实施</w:t>
      </w:r>
      <w:proofErr w:type="gramStart"/>
      <w:r>
        <w:rPr>
          <w:rFonts w:ascii="宋体" w:hAnsi="宋体" w:hint="eastAsia"/>
          <w:b/>
          <w:bCs/>
          <w:szCs w:val="21"/>
        </w:rPr>
        <w:t>侧袋机制</w:t>
      </w:r>
      <w:proofErr w:type="gramEnd"/>
      <w:r>
        <w:rPr>
          <w:rFonts w:ascii="宋体" w:hAnsi="宋体" w:hint="eastAsia"/>
          <w:b/>
          <w:bCs/>
          <w:szCs w:val="21"/>
        </w:rPr>
        <w:t>期间的收益分配</w:t>
      </w:r>
    </w:p>
    <w:p w14:paraId="596C05EF" w14:textId="77777777" w:rsidR="00706097" w:rsidRDefault="00DA6858">
      <w:pPr>
        <w:snapToGrid w:val="0"/>
        <w:spacing w:line="360" w:lineRule="auto"/>
        <w:ind w:firstLineChars="225" w:firstLine="473"/>
        <w:rPr>
          <w:rFonts w:ascii="宋体" w:hAnsi="宋体"/>
          <w:bCs/>
          <w:szCs w:val="21"/>
        </w:rPr>
      </w:pPr>
      <w:r>
        <w:rPr>
          <w:rFonts w:ascii="宋体" w:hAnsi="宋体" w:hint="eastAsia"/>
          <w:bCs/>
          <w:szCs w:val="21"/>
        </w:rPr>
        <w:t>本基金实施</w:t>
      </w:r>
      <w:proofErr w:type="gramStart"/>
      <w:r>
        <w:rPr>
          <w:rFonts w:ascii="宋体" w:hAnsi="宋体" w:hint="eastAsia"/>
          <w:bCs/>
          <w:szCs w:val="21"/>
        </w:rPr>
        <w:t>侧袋机制</w:t>
      </w:r>
      <w:proofErr w:type="gramEnd"/>
      <w:r>
        <w:rPr>
          <w:rFonts w:ascii="宋体" w:hAnsi="宋体" w:hint="eastAsia"/>
          <w:bCs/>
          <w:szCs w:val="21"/>
        </w:rPr>
        <w:t>的，</w:t>
      </w:r>
      <w:proofErr w:type="gramStart"/>
      <w:r>
        <w:rPr>
          <w:rFonts w:ascii="宋体" w:hAnsi="宋体" w:hint="eastAsia"/>
          <w:bCs/>
          <w:szCs w:val="21"/>
        </w:rPr>
        <w:t>侧袋账户</w:t>
      </w:r>
      <w:proofErr w:type="gramEnd"/>
      <w:r>
        <w:rPr>
          <w:rFonts w:ascii="宋体" w:hAnsi="宋体" w:hint="eastAsia"/>
          <w:bCs/>
          <w:szCs w:val="21"/>
        </w:rPr>
        <w:t>不进行收益分配。</w:t>
      </w:r>
    </w:p>
    <w:p w14:paraId="202C93CB" w14:textId="77777777" w:rsidR="00706097" w:rsidRDefault="00DA6858">
      <w:pPr>
        <w:snapToGrid w:val="0"/>
        <w:spacing w:line="360" w:lineRule="auto"/>
        <w:ind w:firstLineChars="200" w:firstLine="420"/>
        <w:rPr>
          <w:rFonts w:ascii="宋体" w:hAnsi="宋体"/>
        </w:rPr>
      </w:pPr>
      <w:r>
        <w:rPr>
          <w:rFonts w:ascii="宋体" w:hAnsi="宋体"/>
        </w:rPr>
        <w:br w:type="page"/>
      </w:r>
    </w:p>
    <w:p w14:paraId="692E90C9"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69" w:name="_Toc362455190"/>
      <w:bookmarkStart w:id="270" w:name="_Toc76483026"/>
      <w:bookmarkStart w:id="271" w:name="_Toc360794415"/>
      <w:bookmarkStart w:id="272" w:name="_Toc360793505"/>
      <w:bookmarkStart w:id="273" w:name="_Toc362533462"/>
      <w:bookmarkStart w:id="274" w:name="_Toc360794107"/>
      <w:bookmarkStart w:id="275" w:name="_Toc360794523"/>
      <w:bookmarkStart w:id="276" w:name="_Toc360793857"/>
      <w:r>
        <w:rPr>
          <w:rFonts w:ascii="宋体" w:eastAsia="宋体" w:hAnsi="宋体" w:hint="eastAsia"/>
        </w:rPr>
        <w:lastRenderedPageBreak/>
        <w:t>基金的费用与税收</w:t>
      </w:r>
      <w:bookmarkEnd w:id="269"/>
      <w:bookmarkEnd w:id="270"/>
      <w:bookmarkEnd w:id="271"/>
      <w:bookmarkEnd w:id="272"/>
      <w:bookmarkEnd w:id="273"/>
      <w:bookmarkEnd w:id="274"/>
      <w:bookmarkEnd w:id="275"/>
      <w:bookmarkEnd w:id="276"/>
    </w:p>
    <w:p w14:paraId="3A755825" w14:textId="77777777" w:rsidR="00706097" w:rsidRDefault="00706097">
      <w:pPr>
        <w:snapToGrid w:val="0"/>
        <w:spacing w:line="360" w:lineRule="auto"/>
        <w:ind w:firstLineChars="200" w:firstLine="422"/>
        <w:rPr>
          <w:rFonts w:ascii="宋体" w:hAnsi="宋体"/>
          <w:b/>
        </w:rPr>
      </w:pPr>
    </w:p>
    <w:p w14:paraId="42C35736" w14:textId="77777777" w:rsidR="00706097" w:rsidRDefault="00DA6858">
      <w:pPr>
        <w:snapToGrid w:val="0"/>
        <w:spacing w:line="360" w:lineRule="auto"/>
        <w:ind w:firstLineChars="200" w:firstLine="422"/>
        <w:rPr>
          <w:rFonts w:ascii="宋体" w:hAnsi="宋体"/>
          <w:b/>
        </w:rPr>
      </w:pPr>
      <w:r>
        <w:rPr>
          <w:rFonts w:ascii="宋体" w:hAnsi="宋体" w:hint="eastAsia"/>
          <w:b/>
        </w:rPr>
        <w:t>一、基金费用的种类</w:t>
      </w:r>
    </w:p>
    <w:p w14:paraId="5AF58F4D"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1、基金管理人的管理费；</w:t>
      </w:r>
    </w:p>
    <w:p w14:paraId="19877144"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2、基金托管人的托管费；</w:t>
      </w:r>
    </w:p>
    <w:p w14:paraId="7C10ED94"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3、C类</w:t>
      </w:r>
      <w:r>
        <w:rPr>
          <w:rFonts w:ascii="宋体" w:hAnsi="宋体" w:hint="eastAsia"/>
          <w:bCs/>
          <w:szCs w:val="21"/>
        </w:rPr>
        <w:t>、E类</w:t>
      </w:r>
      <w:r>
        <w:rPr>
          <w:rFonts w:ascii="宋体" w:hAnsi="宋体"/>
          <w:bCs/>
          <w:szCs w:val="21"/>
        </w:rPr>
        <w:t>基金份额的销售服务费；</w:t>
      </w:r>
    </w:p>
    <w:p w14:paraId="3077499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w:t>
      </w:r>
      <w:r>
        <w:rPr>
          <w:rFonts w:ascii="宋体" w:hAnsi="宋体" w:hint="eastAsia"/>
          <w:bCs/>
          <w:szCs w:val="21"/>
        </w:rPr>
        <w:t>、《基金合同》生效后与基金相关的信息披露费用；</w:t>
      </w:r>
    </w:p>
    <w:p w14:paraId="6B4F0563"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5</w:t>
      </w:r>
      <w:r>
        <w:rPr>
          <w:rFonts w:ascii="宋体" w:hAnsi="宋体" w:hint="eastAsia"/>
          <w:bCs/>
          <w:szCs w:val="21"/>
        </w:rPr>
        <w:t>、《基金合同》生效后与基金相关的会计师费、律师费、审计费、诉讼费和仲裁费；</w:t>
      </w:r>
    </w:p>
    <w:p w14:paraId="518E978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6</w:t>
      </w:r>
      <w:r>
        <w:rPr>
          <w:rFonts w:ascii="宋体" w:hAnsi="宋体" w:hint="eastAsia"/>
          <w:bCs/>
          <w:szCs w:val="21"/>
        </w:rPr>
        <w:t>、基金份额持有人大会费用；</w:t>
      </w:r>
    </w:p>
    <w:p w14:paraId="66572978"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7</w:t>
      </w:r>
      <w:r>
        <w:rPr>
          <w:rFonts w:ascii="宋体" w:hAnsi="宋体" w:hint="eastAsia"/>
          <w:bCs/>
          <w:szCs w:val="21"/>
        </w:rPr>
        <w:t>、基金的证券交易费用；</w:t>
      </w:r>
    </w:p>
    <w:p w14:paraId="38DED93B"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8、</w:t>
      </w:r>
      <w:r>
        <w:rPr>
          <w:rFonts w:ascii="宋体" w:hAnsi="宋体" w:hint="eastAsia"/>
          <w:bCs/>
          <w:szCs w:val="21"/>
        </w:rPr>
        <w:t>基金的银行汇划费用；</w:t>
      </w:r>
    </w:p>
    <w:p w14:paraId="584070D8"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9</w:t>
      </w:r>
      <w:r>
        <w:rPr>
          <w:rFonts w:ascii="宋体" w:hAnsi="宋体" w:hint="eastAsia"/>
          <w:bCs/>
          <w:szCs w:val="21"/>
        </w:rPr>
        <w:t>、基金相关账户的开户费用、账户维护费用；</w:t>
      </w:r>
    </w:p>
    <w:p w14:paraId="3B35E21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10</w:t>
      </w:r>
      <w:r>
        <w:rPr>
          <w:rFonts w:ascii="宋体" w:hAnsi="宋体" w:hint="eastAsia"/>
          <w:bCs/>
          <w:szCs w:val="21"/>
        </w:rPr>
        <w:t>、按照国家有关规定和《基金合同》约定，可以在基金财产中列支的其他费用。</w:t>
      </w:r>
    </w:p>
    <w:p w14:paraId="1D2F5B1C" w14:textId="77777777" w:rsidR="00706097" w:rsidRDefault="00706097">
      <w:pPr>
        <w:snapToGrid w:val="0"/>
        <w:spacing w:line="360" w:lineRule="auto"/>
        <w:ind w:firstLineChars="200" w:firstLine="420"/>
        <w:rPr>
          <w:rFonts w:ascii="宋体" w:hAnsi="宋体"/>
        </w:rPr>
      </w:pPr>
    </w:p>
    <w:p w14:paraId="3CC6F0FA" w14:textId="77777777" w:rsidR="00706097" w:rsidRDefault="00DA6858">
      <w:pPr>
        <w:snapToGrid w:val="0"/>
        <w:spacing w:line="360" w:lineRule="auto"/>
        <w:ind w:firstLineChars="200" w:firstLine="422"/>
        <w:rPr>
          <w:rFonts w:ascii="宋体" w:hAnsi="宋体"/>
          <w:b/>
        </w:rPr>
      </w:pPr>
      <w:r>
        <w:rPr>
          <w:rFonts w:ascii="宋体" w:hAnsi="宋体" w:hint="eastAsia"/>
          <w:b/>
        </w:rPr>
        <w:t>二、基金费用计提方法、计提标准和支付方式</w:t>
      </w:r>
    </w:p>
    <w:p w14:paraId="37177C5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1、基金管理人的管理费 </w:t>
      </w:r>
    </w:p>
    <w:p w14:paraId="1B08EC9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本基金的管理费按前一日基金资产净值的</w:t>
      </w:r>
      <w:r>
        <w:rPr>
          <w:rFonts w:ascii="宋体" w:hAnsi="宋体"/>
          <w:bCs/>
          <w:szCs w:val="21"/>
        </w:rPr>
        <w:t>0.30%年费率计提。管理费的计算方法如下：</w:t>
      </w:r>
    </w:p>
    <w:p w14:paraId="406858E8"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H＝E×0.30%÷当年天数</w:t>
      </w:r>
    </w:p>
    <w:p w14:paraId="7E279B23"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H为每日应计提的基金管理费</w:t>
      </w:r>
    </w:p>
    <w:p w14:paraId="50778C4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E为前一日的基金资产净值</w:t>
      </w:r>
    </w:p>
    <w:p w14:paraId="154D04F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基金管理费每日计提，逐日累计至每月月末，按月支付。由基金管理人向基金托管人发送基金管理费划款指令，基金托管人复核后于次月前</w:t>
      </w:r>
      <w:r>
        <w:rPr>
          <w:rFonts w:ascii="宋体" w:hAnsi="宋体"/>
          <w:bCs/>
          <w:szCs w:val="21"/>
        </w:rPr>
        <w:t>5</w:t>
      </w:r>
      <w:r>
        <w:rPr>
          <w:rFonts w:ascii="宋体" w:hAnsi="宋体" w:hint="eastAsia"/>
          <w:bCs/>
          <w:szCs w:val="21"/>
        </w:rPr>
        <w:t>个工作日内从基金财产中一次性支付给基金管理人。若遇法定节假日、公休假等，支付日期顺延。</w:t>
      </w:r>
    </w:p>
    <w:p w14:paraId="46C43FA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2、基金托管人的托管费</w:t>
      </w:r>
    </w:p>
    <w:p w14:paraId="71CB1E9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本基金的托管费按前一日基金资产净值的</w:t>
      </w:r>
      <w:r>
        <w:rPr>
          <w:rFonts w:ascii="宋体" w:hAnsi="宋体"/>
          <w:bCs/>
          <w:szCs w:val="21"/>
        </w:rPr>
        <w:t>0.08%的年费率计提。托管费的计算方法如下：</w:t>
      </w:r>
    </w:p>
    <w:p w14:paraId="186286A4"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H＝E×0.08%÷当年天数</w:t>
      </w:r>
    </w:p>
    <w:p w14:paraId="16D4032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H为每日应计提的基金托管费</w:t>
      </w:r>
    </w:p>
    <w:p w14:paraId="5E895371"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E为前一日的基金资产净值</w:t>
      </w:r>
    </w:p>
    <w:p w14:paraId="55530E4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基金托管费每日计提，逐日累计至每月月末，按月支付。由基金管理人向基金托管人发送基金托管费划款指令，基金托管人复核后于次月前</w:t>
      </w:r>
      <w:r>
        <w:rPr>
          <w:rFonts w:ascii="宋体" w:hAnsi="宋体"/>
          <w:bCs/>
          <w:szCs w:val="21"/>
        </w:rPr>
        <w:t>5</w:t>
      </w:r>
      <w:r>
        <w:rPr>
          <w:rFonts w:ascii="宋体" w:hAnsi="宋体" w:hint="eastAsia"/>
          <w:bCs/>
          <w:szCs w:val="21"/>
        </w:rPr>
        <w:t>个工作日内从基金财产中一次性支取。若遇法定节假日、公休日等，支付日期顺延。</w:t>
      </w:r>
    </w:p>
    <w:p w14:paraId="6E58DAFE"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3、C类</w:t>
      </w:r>
      <w:r>
        <w:rPr>
          <w:rFonts w:ascii="宋体" w:hAnsi="宋体" w:hint="eastAsia"/>
          <w:bCs/>
          <w:szCs w:val="21"/>
        </w:rPr>
        <w:t>、E类</w:t>
      </w:r>
      <w:r>
        <w:rPr>
          <w:rFonts w:ascii="宋体" w:hAnsi="宋体"/>
          <w:bCs/>
          <w:szCs w:val="21"/>
        </w:rPr>
        <w:t>基金份额的销售服务费</w:t>
      </w:r>
    </w:p>
    <w:p w14:paraId="61D62A7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w:t>
      </w:r>
      <w:r>
        <w:rPr>
          <w:rFonts w:ascii="宋体" w:hAnsi="宋体"/>
          <w:bCs/>
          <w:szCs w:val="21"/>
        </w:rPr>
        <w:t>A类基金份额不收取销售服务费，C类</w:t>
      </w:r>
      <w:r>
        <w:rPr>
          <w:rFonts w:ascii="宋体" w:hAnsi="宋体" w:hint="eastAsia"/>
          <w:bCs/>
          <w:szCs w:val="21"/>
        </w:rPr>
        <w:t>和E类</w:t>
      </w:r>
      <w:r>
        <w:rPr>
          <w:rFonts w:ascii="宋体" w:hAnsi="宋体"/>
          <w:bCs/>
          <w:szCs w:val="21"/>
        </w:rPr>
        <w:t>基金份额收取销售服务费。C类基</w:t>
      </w:r>
      <w:r>
        <w:rPr>
          <w:rFonts w:ascii="宋体" w:hAnsi="宋体"/>
          <w:bCs/>
          <w:szCs w:val="21"/>
        </w:rPr>
        <w:lastRenderedPageBreak/>
        <w:t>金份额</w:t>
      </w:r>
      <w:r>
        <w:rPr>
          <w:rFonts w:ascii="宋体" w:hAnsi="宋体" w:hint="eastAsia"/>
          <w:bCs/>
          <w:szCs w:val="21"/>
        </w:rPr>
        <w:t>销售服务费按前一日</w:t>
      </w:r>
      <w:r>
        <w:rPr>
          <w:rFonts w:ascii="宋体" w:hAnsi="宋体"/>
          <w:bCs/>
          <w:szCs w:val="21"/>
        </w:rPr>
        <w:t>C类基金份额基金资产净值的0.25%的年费率计提</w:t>
      </w:r>
      <w:r>
        <w:rPr>
          <w:rFonts w:ascii="宋体" w:hAnsi="宋体" w:hint="eastAsia"/>
          <w:bCs/>
          <w:szCs w:val="21"/>
        </w:rPr>
        <w:t>，E类基金份额销售服务费按前一日E类基金份额基金资产净值的0.10%的年费率计提</w:t>
      </w:r>
      <w:r>
        <w:rPr>
          <w:rFonts w:ascii="宋体" w:hAnsi="宋体"/>
          <w:bCs/>
          <w:szCs w:val="21"/>
        </w:rPr>
        <w:t>。销售服务费的计算方法如下：</w:t>
      </w:r>
    </w:p>
    <w:p w14:paraId="70293D73"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H＝E×</w:t>
      </w:r>
      <w:r>
        <w:rPr>
          <w:rFonts w:ascii="宋体" w:hAnsi="宋体" w:hint="eastAsia"/>
          <w:bCs/>
          <w:szCs w:val="21"/>
        </w:rPr>
        <w:t>该类基金份额销售服务费年费率</w:t>
      </w:r>
      <w:r>
        <w:rPr>
          <w:rFonts w:ascii="宋体" w:hAnsi="宋体"/>
          <w:bCs/>
          <w:szCs w:val="21"/>
        </w:rPr>
        <w:t>÷当年天数</w:t>
      </w:r>
    </w:p>
    <w:p w14:paraId="7927538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H </w:t>
      </w:r>
      <w:r>
        <w:rPr>
          <w:rFonts w:ascii="宋体" w:hAnsi="宋体" w:hint="eastAsia"/>
          <w:bCs/>
          <w:szCs w:val="21"/>
        </w:rPr>
        <w:t>为</w:t>
      </w:r>
      <w:r>
        <w:rPr>
          <w:rFonts w:ascii="宋体" w:hAnsi="宋体"/>
          <w:bCs/>
          <w:szCs w:val="21"/>
        </w:rPr>
        <w:t>C类</w:t>
      </w:r>
      <w:r>
        <w:rPr>
          <w:rFonts w:ascii="宋体" w:hAnsi="宋体" w:hint="eastAsia"/>
          <w:bCs/>
          <w:szCs w:val="21"/>
        </w:rPr>
        <w:t>或E类</w:t>
      </w:r>
      <w:r>
        <w:rPr>
          <w:rFonts w:ascii="宋体" w:hAnsi="宋体"/>
          <w:bCs/>
          <w:szCs w:val="21"/>
        </w:rPr>
        <w:t>基金份额每日应计提的销售服务费</w:t>
      </w:r>
    </w:p>
    <w:p w14:paraId="74BC0123"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E </w:t>
      </w:r>
      <w:r>
        <w:rPr>
          <w:rFonts w:ascii="宋体" w:hAnsi="宋体" w:hint="eastAsia"/>
          <w:bCs/>
          <w:szCs w:val="21"/>
        </w:rPr>
        <w:t>为</w:t>
      </w:r>
      <w:r>
        <w:rPr>
          <w:rFonts w:ascii="宋体" w:hAnsi="宋体"/>
          <w:bCs/>
          <w:szCs w:val="21"/>
        </w:rPr>
        <w:t>C类</w:t>
      </w:r>
      <w:r>
        <w:rPr>
          <w:rFonts w:ascii="宋体" w:hAnsi="宋体" w:hint="eastAsia"/>
          <w:bCs/>
          <w:szCs w:val="21"/>
        </w:rPr>
        <w:t>或E类</w:t>
      </w:r>
      <w:r>
        <w:rPr>
          <w:rFonts w:ascii="宋体" w:hAnsi="宋体"/>
          <w:bCs/>
          <w:szCs w:val="21"/>
        </w:rPr>
        <w:t>基金份额前一日的基金资产净值</w:t>
      </w:r>
    </w:p>
    <w:p w14:paraId="6B84843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销售服务费每日计提，逐日累计至每月月末，按月支付。由基金管理人向基金托管人发送销售服务费划款指令，基金托管人复核后于次月前</w:t>
      </w:r>
      <w:r>
        <w:rPr>
          <w:rFonts w:ascii="宋体" w:hAnsi="宋体"/>
          <w:bCs/>
          <w:szCs w:val="21"/>
        </w:rPr>
        <w:t>5</w:t>
      </w:r>
      <w:r>
        <w:rPr>
          <w:rFonts w:ascii="宋体" w:hAnsi="宋体" w:hint="eastAsia"/>
          <w:bCs/>
          <w:szCs w:val="21"/>
        </w:rPr>
        <w:t>个工作日内从基金财产中一次性支付给登记机构，经登记机构代付给各个基金销售机构。若遇法定节假日、公休假等，支付日期顺延。</w:t>
      </w:r>
    </w:p>
    <w:p w14:paraId="55D200FC"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销售服务费可用于本基金市场推广、销售以及基金份额持有人服务等各项费用。</w:t>
      </w:r>
    </w:p>
    <w:p w14:paraId="747CA1E1"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4、上述“基金费用的种类</w:t>
      </w:r>
      <w:r>
        <w:rPr>
          <w:rFonts w:ascii="宋体" w:hAnsi="宋体" w:hint="eastAsia"/>
          <w:bCs/>
          <w:szCs w:val="21"/>
        </w:rPr>
        <w:t>”中第</w:t>
      </w:r>
      <w:r>
        <w:rPr>
          <w:rFonts w:ascii="宋体" w:hAnsi="宋体"/>
          <w:bCs/>
          <w:szCs w:val="21"/>
        </w:rPr>
        <w:t>4</w:t>
      </w:r>
      <w:r>
        <w:rPr>
          <w:rFonts w:ascii="宋体" w:hAnsi="宋体" w:hint="eastAsia"/>
          <w:bCs/>
          <w:szCs w:val="21"/>
        </w:rPr>
        <w:t>－</w:t>
      </w:r>
      <w:r>
        <w:rPr>
          <w:rFonts w:ascii="宋体" w:hAnsi="宋体"/>
          <w:bCs/>
          <w:szCs w:val="21"/>
        </w:rPr>
        <w:t>10</w:t>
      </w:r>
      <w:r>
        <w:rPr>
          <w:rFonts w:ascii="宋体" w:hAnsi="宋体" w:hint="eastAsia"/>
          <w:bCs/>
          <w:szCs w:val="21"/>
        </w:rPr>
        <w:t>项费用，根据有关法规及相应协议规定，按费用实际支出金额列入当期费用，由基金托管人从基金财产中支付。</w:t>
      </w:r>
    </w:p>
    <w:p w14:paraId="6C5B28E0" w14:textId="77777777" w:rsidR="00706097" w:rsidRDefault="00706097">
      <w:pPr>
        <w:snapToGrid w:val="0"/>
        <w:spacing w:line="360" w:lineRule="auto"/>
        <w:ind w:firstLineChars="200" w:firstLine="420"/>
        <w:rPr>
          <w:rFonts w:ascii="宋体" w:hAnsi="宋体"/>
        </w:rPr>
      </w:pPr>
    </w:p>
    <w:p w14:paraId="003C0833" w14:textId="77777777" w:rsidR="00706097" w:rsidRDefault="00DA6858">
      <w:pPr>
        <w:snapToGrid w:val="0"/>
        <w:spacing w:line="360" w:lineRule="auto"/>
        <w:ind w:firstLineChars="200" w:firstLine="422"/>
        <w:rPr>
          <w:rFonts w:ascii="宋体" w:hAnsi="宋体"/>
          <w:b/>
        </w:rPr>
      </w:pPr>
      <w:r>
        <w:rPr>
          <w:rFonts w:ascii="宋体" w:hAnsi="宋体" w:hint="eastAsia"/>
          <w:b/>
        </w:rPr>
        <w:t>三、不列入基金费用的项目</w:t>
      </w:r>
    </w:p>
    <w:p w14:paraId="1A133285" w14:textId="77777777" w:rsidR="00706097" w:rsidRDefault="00DA6858">
      <w:pPr>
        <w:snapToGrid w:val="0"/>
        <w:spacing w:line="360" w:lineRule="auto"/>
        <w:ind w:firstLineChars="200" w:firstLine="420"/>
        <w:rPr>
          <w:rFonts w:ascii="宋体" w:hAnsi="宋体"/>
        </w:rPr>
      </w:pPr>
      <w:r>
        <w:rPr>
          <w:rFonts w:ascii="宋体" w:hAnsi="宋体" w:hint="eastAsia"/>
        </w:rPr>
        <w:t>下列费用不列入基金费用：</w:t>
      </w:r>
    </w:p>
    <w:p w14:paraId="6D85CF5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1、基金管理人和基金托管人因未履行或未完全履行义务导致的费用支出或基金财产的损失；</w:t>
      </w:r>
    </w:p>
    <w:p w14:paraId="416F24B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2、基金管理人和基金托管人处理与基金运作无关的事项发生的费用；</w:t>
      </w:r>
    </w:p>
    <w:p w14:paraId="5FE00E5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3、《基金合同》生效前的相关费用；</w:t>
      </w:r>
    </w:p>
    <w:p w14:paraId="3193109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4、其他根据相关法律法规及中国证监会的有关规定不得列入基金费用的项目。</w:t>
      </w:r>
    </w:p>
    <w:p w14:paraId="71F0941F" w14:textId="77777777" w:rsidR="00706097" w:rsidRDefault="00706097">
      <w:pPr>
        <w:snapToGrid w:val="0"/>
        <w:spacing w:line="360" w:lineRule="auto"/>
        <w:ind w:firstLineChars="200" w:firstLine="420"/>
        <w:rPr>
          <w:rFonts w:ascii="宋体" w:hAnsi="宋体"/>
        </w:rPr>
      </w:pPr>
    </w:p>
    <w:p w14:paraId="356F6199" w14:textId="77777777" w:rsidR="00706097" w:rsidRDefault="00DA6858">
      <w:pPr>
        <w:snapToGrid w:val="0"/>
        <w:spacing w:line="360" w:lineRule="auto"/>
        <w:ind w:firstLineChars="200" w:firstLine="422"/>
        <w:rPr>
          <w:rFonts w:ascii="宋体" w:hAnsi="宋体"/>
          <w:b/>
        </w:rPr>
      </w:pPr>
      <w:r>
        <w:rPr>
          <w:rFonts w:ascii="宋体" w:hAnsi="宋体" w:hint="eastAsia"/>
          <w:b/>
        </w:rPr>
        <w:t>四</w:t>
      </w:r>
      <w:r>
        <w:rPr>
          <w:rFonts w:ascii="宋体" w:hAnsi="宋体"/>
          <w:b/>
        </w:rPr>
        <w:t>、</w:t>
      </w:r>
      <w:r>
        <w:rPr>
          <w:rFonts w:ascii="宋体" w:hAnsi="宋体" w:hint="eastAsia"/>
          <w:b/>
        </w:rPr>
        <w:t>实施</w:t>
      </w:r>
      <w:proofErr w:type="gramStart"/>
      <w:r>
        <w:rPr>
          <w:rFonts w:ascii="宋体" w:hAnsi="宋体" w:hint="eastAsia"/>
          <w:b/>
        </w:rPr>
        <w:t>侧袋机制</w:t>
      </w:r>
      <w:proofErr w:type="gramEnd"/>
      <w:r>
        <w:rPr>
          <w:rFonts w:ascii="宋体" w:hAnsi="宋体" w:hint="eastAsia"/>
          <w:b/>
        </w:rPr>
        <w:t>期间的基金费用</w:t>
      </w:r>
    </w:p>
    <w:p w14:paraId="0CFFF9A3" w14:textId="77777777" w:rsidR="00706097" w:rsidRPr="007E6420" w:rsidRDefault="00DA6858">
      <w:pPr>
        <w:snapToGrid w:val="0"/>
        <w:spacing w:line="360" w:lineRule="auto"/>
        <w:ind w:firstLineChars="200" w:firstLine="420"/>
        <w:rPr>
          <w:rFonts w:ascii="宋体" w:hAnsi="宋体"/>
          <w:bCs/>
        </w:rPr>
      </w:pPr>
      <w:r w:rsidRPr="007E6420">
        <w:rPr>
          <w:rFonts w:ascii="宋体" w:hAnsi="宋体" w:hint="eastAsia"/>
          <w:bCs/>
        </w:rPr>
        <w:t>本基金实施</w:t>
      </w:r>
      <w:proofErr w:type="gramStart"/>
      <w:r w:rsidRPr="007E6420">
        <w:rPr>
          <w:rFonts w:ascii="宋体" w:hAnsi="宋体" w:hint="eastAsia"/>
          <w:bCs/>
        </w:rPr>
        <w:t>侧袋机制</w:t>
      </w:r>
      <w:proofErr w:type="gramEnd"/>
      <w:r w:rsidRPr="007E6420">
        <w:rPr>
          <w:rFonts w:ascii="宋体" w:hAnsi="宋体" w:hint="eastAsia"/>
          <w:bCs/>
        </w:rPr>
        <w:t>的，</w:t>
      </w:r>
      <w:proofErr w:type="gramStart"/>
      <w:r w:rsidRPr="007E6420">
        <w:rPr>
          <w:rFonts w:ascii="宋体" w:hAnsi="宋体" w:hint="eastAsia"/>
          <w:bCs/>
        </w:rPr>
        <w:t>与侧袋账户</w:t>
      </w:r>
      <w:proofErr w:type="gramEnd"/>
      <w:r w:rsidRPr="007E6420">
        <w:rPr>
          <w:rFonts w:ascii="宋体" w:hAnsi="宋体" w:hint="eastAsia"/>
          <w:bCs/>
        </w:rPr>
        <w:t>有关的费用可以</w:t>
      </w:r>
      <w:proofErr w:type="gramStart"/>
      <w:r w:rsidRPr="007E6420">
        <w:rPr>
          <w:rFonts w:ascii="宋体" w:hAnsi="宋体" w:hint="eastAsia"/>
          <w:bCs/>
        </w:rPr>
        <w:t>从侧袋账户</w:t>
      </w:r>
      <w:proofErr w:type="gramEnd"/>
      <w:r w:rsidRPr="007E6420">
        <w:rPr>
          <w:rFonts w:ascii="宋体" w:hAnsi="宋体" w:hint="eastAsia"/>
          <w:bCs/>
        </w:rPr>
        <w:t>中列支，但应</w:t>
      </w:r>
      <w:proofErr w:type="gramStart"/>
      <w:r w:rsidRPr="007E6420">
        <w:rPr>
          <w:rFonts w:ascii="宋体" w:hAnsi="宋体" w:hint="eastAsia"/>
          <w:bCs/>
        </w:rPr>
        <w:t>待侧袋</w:t>
      </w:r>
      <w:proofErr w:type="gramEnd"/>
      <w:r w:rsidRPr="007E6420">
        <w:rPr>
          <w:rFonts w:ascii="宋体" w:hAnsi="宋体" w:hint="eastAsia"/>
          <w:bCs/>
        </w:rPr>
        <w:t>账户资产变现后方可列支，有关费用可酌情收取或减免，但不得收取管理费，详见本招募说明书“侧袋机制”章节的规定。</w:t>
      </w:r>
    </w:p>
    <w:p w14:paraId="53188787" w14:textId="77777777" w:rsidR="00706097" w:rsidRDefault="00706097">
      <w:pPr>
        <w:snapToGrid w:val="0"/>
        <w:spacing w:line="360" w:lineRule="auto"/>
        <w:ind w:firstLineChars="200" w:firstLine="422"/>
        <w:rPr>
          <w:rFonts w:ascii="宋体" w:hAnsi="宋体"/>
          <w:b/>
        </w:rPr>
      </w:pPr>
    </w:p>
    <w:p w14:paraId="6F14316A" w14:textId="77777777" w:rsidR="00706097" w:rsidRDefault="00DA6858">
      <w:pPr>
        <w:snapToGrid w:val="0"/>
        <w:spacing w:line="360" w:lineRule="auto"/>
        <w:ind w:firstLineChars="200" w:firstLine="422"/>
        <w:rPr>
          <w:rFonts w:ascii="宋体" w:hAnsi="宋体"/>
          <w:b/>
        </w:rPr>
      </w:pPr>
      <w:r>
        <w:rPr>
          <w:rFonts w:ascii="宋体" w:hAnsi="宋体" w:hint="eastAsia"/>
          <w:b/>
        </w:rPr>
        <w:t>五、基金税收</w:t>
      </w:r>
    </w:p>
    <w:p w14:paraId="74B89482" w14:textId="77777777" w:rsidR="00706097" w:rsidRDefault="00DA6858">
      <w:pPr>
        <w:snapToGrid w:val="0"/>
        <w:spacing w:line="360" w:lineRule="auto"/>
        <w:ind w:firstLineChars="200" w:firstLine="420"/>
        <w:rPr>
          <w:rFonts w:ascii="宋体" w:hAnsi="宋体"/>
          <w:sz w:val="24"/>
        </w:rPr>
      </w:pPr>
      <w:r>
        <w:rPr>
          <w:rFonts w:ascii="宋体" w:hAnsi="宋体" w:hint="eastAsia"/>
          <w:bCs/>
        </w:rPr>
        <w:t>本基金运作过程中涉及的各纳税主体，其纳税义务按国家税收法律、法规执行。基金财产投资的相关税收，由基金份额持有人承担，基金管理人或者其他扣缴义务人按照国家有关税收征收的规定代扣代缴。</w:t>
      </w:r>
    </w:p>
    <w:p w14:paraId="682639BB" w14:textId="77777777" w:rsidR="00706097" w:rsidRDefault="00DA6858">
      <w:pPr>
        <w:pStyle w:val="36"/>
        <w:snapToGrid w:val="0"/>
        <w:rPr>
          <w:rFonts w:hAnsi="宋体" w:hint="default"/>
          <w:szCs w:val="24"/>
        </w:rPr>
      </w:pPr>
      <w:r>
        <w:rPr>
          <w:rFonts w:hAnsi="宋体"/>
          <w:kern w:val="0"/>
        </w:rPr>
        <w:br w:type="page"/>
      </w:r>
    </w:p>
    <w:p w14:paraId="1D81BA8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77" w:name="_Toc360793506"/>
      <w:bookmarkStart w:id="278" w:name="_Toc360793858"/>
      <w:bookmarkStart w:id="279" w:name="_Toc360794108"/>
      <w:bookmarkStart w:id="280" w:name="_Toc76483027"/>
      <w:bookmarkStart w:id="281" w:name="_Toc360794416"/>
      <w:bookmarkStart w:id="282" w:name="_Toc360794524"/>
      <w:bookmarkStart w:id="283" w:name="_Toc362455191"/>
      <w:bookmarkStart w:id="284" w:name="_Toc362533463"/>
      <w:r>
        <w:rPr>
          <w:rFonts w:ascii="宋体" w:eastAsia="宋体" w:hAnsi="宋体" w:hint="eastAsia"/>
        </w:rPr>
        <w:lastRenderedPageBreak/>
        <w:t>基金的会计与审计</w:t>
      </w:r>
      <w:bookmarkEnd w:id="277"/>
      <w:bookmarkEnd w:id="278"/>
      <w:bookmarkEnd w:id="279"/>
      <w:bookmarkEnd w:id="280"/>
      <w:bookmarkEnd w:id="281"/>
      <w:bookmarkEnd w:id="282"/>
      <w:bookmarkEnd w:id="283"/>
      <w:bookmarkEnd w:id="284"/>
    </w:p>
    <w:p w14:paraId="14DE006D" w14:textId="77777777" w:rsidR="00706097" w:rsidRDefault="00706097">
      <w:pPr>
        <w:snapToGrid w:val="0"/>
        <w:spacing w:line="360" w:lineRule="auto"/>
        <w:ind w:firstLineChars="200" w:firstLine="422"/>
        <w:rPr>
          <w:rFonts w:ascii="宋体" w:hAnsi="宋体"/>
          <w:b/>
          <w:bCs/>
        </w:rPr>
      </w:pPr>
    </w:p>
    <w:p w14:paraId="23C3033B" w14:textId="77777777" w:rsidR="00706097" w:rsidRDefault="00DA6858">
      <w:pPr>
        <w:snapToGrid w:val="0"/>
        <w:spacing w:line="360" w:lineRule="auto"/>
        <w:ind w:firstLineChars="200" w:firstLine="422"/>
        <w:rPr>
          <w:rFonts w:ascii="宋体" w:hAnsi="宋体"/>
          <w:b/>
          <w:bCs/>
        </w:rPr>
      </w:pPr>
      <w:r>
        <w:rPr>
          <w:rFonts w:ascii="宋体" w:hAnsi="宋体" w:hint="eastAsia"/>
          <w:b/>
          <w:bCs/>
        </w:rPr>
        <w:t>一、基金会计政策</w:t>
      </w:r>
    </w:p>
    <w:p w14:paraId="0B5FB9AA"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1、基金管理人为本基金的基金会计责任方；</w:t>
      </w:r>
    </w:p>
    <w:p w14:paraId="72627051"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2、基金的会计年度为公历年度的1月1日至12月31日；基金首次募集的会计年度按如下原则：如果《基金合同》生效少于2个月，可以并入下一个会计年度</w:t>
      </w:r>
      <w:r>
        <w:rPr>
          <w:rFonts w:ascii="宋体" w:hAnsi="宋体" w:hint="eastAsia"/>
          <w:szCs w:val="21"/>
        </w:rPr>
        <w:t>披露</w:t>
      </w:r>
      <w:r>
        <w:rPr>
          <w:rFonts w:ascii="宋体" w:hAnsi="宋体"/>
          <w:szCs w:val="21"/>
        </w:rPr>
        <w:t>；</w:t>
      </w:r>
    </w:p>
    <w:p w14:paraId="457BD128" w14:textId="77777777" w:rsidR="00706097" w:rsidRDefault="00DA6858">
      <w:pPr>
        <w:adjustRightInd w:val="0"/>
        <w:snapToGrid w:val="0"/>
        <w:spacing w:line="360" w:lineRule="auto"/>
        <w:ind w:firstLine="420"/>
        <w:rPr>
          <w:rFonts w:ascii="宋体" w:hAnsi="宋体"/>
          <w:szCs w:val="21"/>
        </w:rPr>
      </w:pPr>
      <w:r>
        <w:rPr>
          <w:rFonts w:ascii="宋体" w:hAnsi="宋体"/>
          <w:szCs w:val="21"/>
        </w:rPr>
        <w:t>3、基金核算以人民币为记账本位币，以人民币元为记账单位；</w:t>
      </w:r>
    </w:p>
    <w:p w14:paraId="3A13BD94" w14:textId="77777777" w:rsidR="00706097" w:rsidRDefault="00DA6858">
      <w:pPr>
        <w:adjustRightInd w:val="0"/>
        <w:snapToGrid w:val="0"/>
        <w:spacing w:line="360" w:lineRule="auto"/>
        <w:ind w:firstLine="420"/>
        <w:rPr>
          <w:rFonts w:ascii="宋体" w:hAnsi="宋体"/>
          <w:szCs w:val="21"/>
        </w:rPr>
      </w:pPr>
      <w:r>
        <w:rPr>
          <w:rFonts w:ascii="宋体" w:hAnsi="宋体"/>
          <w:szCs w:val="21"/>
        </w:rPr>
        <w:t>4、会计制度执行国家有关会计制度；</w:t>
      </w:r>
    </w:p>
    <w:p w14:paraId="225CACA3" w14:textId="77777777" w:rsidR="00706097" w:rsidRDefault="00DA6858">
      <w:pPr>
        <w:adjustRightInd w:val="0"/>
        <w:snapToGrid w:val="0"/>
        <w:spacing w:line="360" w:lineRule="auto"/>
        <w:ind w:firstLine="420"/>
        <w:rPr>
          <w:rFonts w:ascii="宋体" w:hAnsi="宋体"/>
          <w:szCs w:val="21"/>
        </w:rPr>
      </w:pPr>
      <w:r>
        <w:rPr>
          <w:rFonts w:ascii="宋体" w:hAnsi="宋体"/>
          <w:szCs w:val="21"/>
        </w:rPr>
        <w:t>5、本基金独立建账、独立核算；</w:t>
      </w:r>
    </w:p>
    <w:p w14:paraId="5857A2D5" w14:textId="77777777" w:rsidR="00706097" w:rsidRDefault="00DA6858">
      <w:pPr>
        <w:adjustRightInd w:val="0"/>
        <w:snapToGrid w:val="0"/>
        <w:spacing w:line="360" w:lineRule="auto"/>
        <w:ind w:firstLine="420"/>
        <w:rPr>
          <w:rFonts w:ascii="宋体" w:hAnsi="宋体"/>
          <w:szCs w:val="21"/>
        </w:rPr>
      </w:pPr>
      <w:r>
        <w:rPr>
          <w:rFonts w:ascii="宋体" w:hAnsi="宋体"/>
          <w:szCs w:val="21"/>
        </w:rPr>
        <w:t>6、基金管理人及基金托管人各自保留完整的会计账目、凭证并进行日常的会计核算，按照有关规定编制基金会计报表；</w:t>
      </w:r>
    </w:p>
    <w:p w14:paraId="350EB95E" w14:textId="77777777" w:rsidR="00706097" w:rsidRDefault="00DA6858">
      <w:pPr>
        <w:snapToGrid w:val="0"/>
        <w:spacing w:line="360" w:lineRule="auto"/>
        <w:ind w:firstLineChars="200" w:firstLine="420"/>
        <w:rPr>
          <w:rFonts w:ascii="宋体" w:hAnsi="宋体"/>
          <w:bCs/>
          <w:szCs w:val="21"/>
        </w:rPr>
      </w:pPr>
      <w:r>
        <w:rPr>
          <w:rFonts w:ascii="宋体" w:hAnsi="宋体"/>
          <w:szCs w:val="21"/>
        </w:rPr>
        <w:t>7、基金托管人每月与基金管理人就基金的会计核算、报表编制等</w:t>
      </w:r>
      <w:r>
        <w:rPr>
          <w:rFonts w:ascii="宋体" w:hAnsi="宋体" w:hint="eastAsia"/>
          <w:bCs/>
          <w:szCs w:val="21"/>
        </w:rPr>
        <w:t>以双方认可的方式进行核对并</w:t>
      </w:r>
      <w:r>
        <w:rPr>
          <w:rFonts w:ascii="宋体" w:hAnsi="宋体"/>
          <w:szCs w:val="21"/>
        </w:rPr>
        <w:t>确认。</w:t>
      </w:r>
    </w:p>
    <w:p w14:paraId="10EA2BE2" w14:textId="77777777" w:rsidR="00706097" w:rsidRDefault="00706097">
      <w:pPr>
        <w:snapToGrid w:val="0"/>
        <w:spacing w:line="360" w:lineRule="auto"/>
        <w:ind w:firstLineChars="200" w:firstLine="420"/>
        <w:rPr>
          <w:rFonts w:ascii="宋体" w:hAnsi="宋体"/>
          <w:bCs/>
          <w:szCs w:val="21"/>
        </w:rPr>
      </w:pPr>
    </w:p>
    <w:p w14:paraId="02A243B0"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二、基金的年度审计</w:t>
      </w:r>
    </w:p>
    <w:p w14:paraId="260B6E76"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1、基金管理人聘请与基金管理人、基金托管人相互独立的具有证券</w:t>
      </w:r>
      <w:r>
        <w:rPr>
          <w:rFonts w:ascii="宋体" w:hAnsi="宋体" w:hint="eastAsia"/>
          <w:szCs w:val="21"/>
        </w:rPr>
        <w:t>、期货相关业务</w:t>
      </w:r>
      <w:r>
        <w:rPr>
          <w:rFonts w:ascii="宋体" w:hAnsi="宋体"/>
          <w:szCs w:val="21"/>
        </w:rPr>
        <w:t>资格</w:t>
      </w:r>
      <w:bookmarkStart w:id="285" w:name="_Hlt4221115"/>
      <w:bookmarkEnd w:id="285"/>
      <w:r>
        <w:rPr>
          <w:rFonts w:ascii="宋体" w:hAnsi="宋体"/>
          <w:szCs w:val="21"/>
        </w:rPr>
        <w:t>的会计师事务所及其注册会计师对本基金的年度财务报表进行审计。</w:t>
      </w:r>
    </w:p>
    <w:p w14:paraId="1F996F33" w14:textId="77777777" w:rsidR="00706097" w:rsidRDefault="00DA6858">
      <w:pPr>
        <w:adjustRightInd w:val="0"/>
        <w:snapToGrid w:val="0"/>
        <w:spacing w:line="360" w:lineRule="auto"/>
        <w:ind w:firstLine="420"/>
        <w:rPr>
          <w:rFonts w:ascii="宋体" w:hAnsi="宋体"/>
          <w:szCs w:val="21"/>
        </w:rPr>
      </w:pPr>
      <w:r>
        <w:rPr>
          <w:rFonts w:ascii="宋体" w:hAnsi="宋体"/>
          <w:szCs w:val="21"/>
        </w:rPr>
        <w:t>2、会计师事务所更换经办注册会计师，应事先征得基金管理人同意。</w:t>
      </w:r>
    </w:p>
    <w:p w14:paraId="5C4BC933" w14:textId="77777777" w:rsidR="00706097" w:rsidRDefault="00DA6858">
      <w:pPr>
        <w:snapToGrid w:val="0"/>
        <w:spacing w:line="360" w:lineRule="auto"/>
        <w:ind w:firstLineChars="200" w:firstLine="420"/>
        <w:rPr>
          <w:rFonts w:ascii="宋体" w:hAnsi="宋体"/>
          <w:bCs/>
          <w:szCs w:val="21"/>
        </w:rPr>
      </w:pPr>
      <w:r>
        <w:rPr>
          <w:rFonts w:ascii="宋体" w:hAnsi="宋体"/>
          <w:szCs w:val="21"/>
        </w:rPr>
        <w:t>3、基金管理人认为有充足理由更换会计师事务所，须通报基金托管人。更换会计师事务所需在2日内在</w:t>
      </w:r>
      <w:r>
        <w:rPr>
          <w:rFonts w:ascii="宋体" w:hAnsi="宋体" w:hint="eastAsia"/>
          <w:szCs w:val="21"/>
        </w:rPr>
        <w:t>指定媒介</w:t>
      </w:r>
      <w:r>
        <w:rPr>
          <w:rFonts w:ascii="宋体" w:hAnsi="宋体"/>
          <w:szCs w:val="21"/>
        </w:rPr>
        <w:t>公告。</w:t>
      </w:r>
    </w:p>
    <w:p w14:paraId="627282EA" w14:textId="77777777" w:rsidR="00706097" w:rsidRDefault="00706097">
      <w:pPr>
        <w:snapToGrid w:val="0"/>
        <w:spacing w:line="360" w:lineRule="auto"/>
        <w:ind w:firstLineChars="200" w:firstLine="420"/>
        <w:rPr>
          <w:rFonts w:ascii="宋体" w:hAnsi="宋体"/>
        </w:rPr>
      </w:pPr>
    </w:p>
    <w:p w14:paraId="5E153F98" w14:textId="77777777" w:rsidR="00706097" w:rsidRDefault="00DA6858">
      <w:pPr>
        <w:pStyle w:val="ab"/>
        <w:snapToGrid w:val="0"/>
        <w:spacing w:line="360" w:lineRule="auto"/>
        <w:ind w:firstLineChars="200"/>
        <w:rPr>
          <w:rFonts w:ascii="宋体" w:hAnsi="宋体"/>
          <w:szCs w:val="24"/>
        </w:rPr>
      </w:pPr>
      <w:r>
        <w:rPr>
          <w:rFonts w:ascii="宋体" w:hAnsi="宋体"/>
          <w:kern w:val="0"/>
        </w:rPr>
        <w:br w:type="page"/>
      </w:r>
    </w:p>
    <w:p w14:paraId="70359C55"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86" w:name="_Toc360793859"/>
      <w:bookmarkStart w:id="287" w:name="_Toc360794525"/>
      <w:bookmarkStart w:id="288" w:name="_Toc362533464"/>
      <w:bookmarkStart w:id="289" w:name="_Toc362455192"/>
      <w:bookmarkStart w:id="290" w:name="_Toc360793507"/>
      <w:bookmarkStart w:id="291" w:name="_Toc360794417"/>
      <w:bookmarkStart w:id="292" w:name="_Toc76483028"/>
      <w:bookmarkStart w:id="293" w:name="_Toc360794109"/>
      <w:r>
        <w:rPr>
          <w:rFonts w:ascii="宋体" w:eastAsia="宋体" w:hAnsi="宋体" w:hint="eastAsia"/>
        </w:rPr>
        <w:lastRenderedPageBreak/>
        <w:t>基金的信息披露</w:t>
      </w:r>
      <w:bookmarkEnd w:id="286"/>
      <w:bookmarkEnd w:id="287"/>
      <w:bookmarkEnd w:id="288"/>
      <w:bookmarkEnd w:id="289"/>
      <w:bookmarkEnd w:id="290"/>
      <w:bookmarkEnd w:id="291"/>
      <w:bookmarkEnd w:id="292"/>
      <w:bookmarkEnd w:id="293"/>
    </w:p>
    <w:p w14:paraId="53BB5B38" w14:textId="77777777" w:rsidR="00706097" w:rsidRDefault="00706097">
      <w:pPr>
        <w:snapToGrid w:val="0"/>
        <w:spacing w:line="360" w:lineRule="auto"/>
        <w:ind w:firstLineChars="200" w:firstLine="420"/>
        <w:rPr>
          <w:rFonts w:ascii="宋体" w:hAnsi="宋体"/>
          <w:bCs/>
          <w:szCs w:val="21"/>
        </w:rPr>
      </w:pPr>
    </w:p>
    <w:p w14:paraId="55A75460" w14:textId="77777777" w:rsidR="00706097" w:rsidRDefault="00DA6858">
      <w:pPr>
        <w:adjustRightInd w:val="0"/>
        <w:snapToGrid w:val="0"/>
        <w:spacing w:line="360" w:lineRule="auto"/>
        <w:ind w:firstLineChars="200" w:firstLine="420"/>
        <w:rPr>
          <w:rFonts w:ascii="宋体" w:hAnsi="宋体"/>
          <w:szCs w:val="21"/>
        </w:rPr>
      </w:pPr>
      <w:r>
        <w:rPr>
          <w:rFonts w:ascii="宋体" w:hAnsi="宋体"/>
          <w:szCs w:val="21"/>
        </w:rPr>
        <w:t>一、本基金的信息披露应符合《基金法》、《运作办法》、《信息披露办法》、</w:t>
      </w:r>
      <w:r>
        <w:rPr>
          <w:rFonts w:ascii="宋体" w:hAnsi="宋体" w:hint="eastAsia"/>
          <w:szCs w:val="21"/>
        </w:rPr>
        <w:t>《流动性风险管理规定》、</w:t>
      </w:r>
      <w:r>
        <w:rPr>
          <w:rFonts w:ascii="宋体" w:hAnsi="宋体"/>
          <w:szCs w:val="21"/>
        </w:rPr>
        <w:t>《基金合同》及其他有关规定。</w:t>
      </w:r>
      <w:r>
        <w:rPr>
          <w:rFonts w:ascii="宋体" w:hAnsi="宋体" w:hint="eastAsia"/>
          <w:szCs w:val="21"/>
        </w:rPr>
        <w:t>相关法律法规关于信息披露的披露方式、登载媒介、报备方式等规定发生变化时，本基金从其最新规定。</w:t>
      </w:r>
    </w:p>
    <w:p w14:paraId="0F5CC956" w14:textId="77777777" w:rsidR="00706097" w:rsidRDefault="00706097">
      <w:pPr>
        <w:adjustRightInd w:val="0"/>
        <w:snapToGrid w:val="0"/>
        <w:spacing w:line="360" w:lineRule="auto"/>
        <w:ind w:firstLine="420"/>
        <w:rPr>
          <w:rFonts w:ascii="宋体" w:hAnsi="宋体"/>
          <w:bCs/>
          <w:szCs w:val="21"/>
        </w:rPr>
      </w:pPr>
    </w:p>
    <w:p w14:paraId="75A48F47"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二、信息披露义务人</w:t>
      </w:r>
    </w:p>
    <w:p w14:paraId="451988FC"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本基金信息披露义务人包括基金管理人、基金托管人、召集基金份额持有人大会的基金份额持有人等法律法规和中国证监会规定的自然人、法人和</w:t>
      </w:r>
      <w:r>
        <w:rPr>
          <w:rFonts w:ascii="宋体" w:hAnsi="宋体" w:hint="eastAsia"/>
          <w:szCs w:val="21"/>
        </w:rPr>
        <w:t>非法人</w:t>
      </w:r>
      <w:r>
        <w:rPr>
          <w:rFonts w:ascii="宋体" w:hAnsi="宋体"/>
          <w:szCs w:val="21"/>
        </w:rPr>
        <w:t>组织。</w:t>
      </w:r>
    </w:p>
    <w:p w14:paraId="7FA8FE7D"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本基金信息披露义务人</w:t>
      </w:r>
      <w:r>
        <w:rPr>
          <w:rFonts w:ascii="宋体" w:hAnsi="宋体" w:hint="eastAsia"/>
          <w:szCs w:val="21"/>
        </w:rPr>
        <w:t>以保护基金份额持有人利益为根本出发点，</w:t>
      </w:r>
      <w:r>
        <w:rPr>
          <w:rFonts w:ascii="宋体" w:hAnsi="宋体"/>
          <w:szCs w:val="21"/>
        </w:rPr>
        <w:t>按照法律法规和中国证监会的规定披露基金信息，并保证所披露信息的真实性、准确性</w:t>
      </w:r>
      <w:r>
        <w:rPr>
          <w:rFonts w:ascii="宋体" w:hAnsi="宋体" w:hint="eastAsia"/>
          <w:szCs w:val="21"/>
        </w:rPr>
        <w:t>、</w:t>
      </w:r>
      <w:r>
        <w:rPr>
          <w:rFonts w:ascii="宋体" w:hAnsi="宋体"/>
          <w:szCs w:val="21"/>
        </w:rPr>
        <w:t>完整性</w:t>
      </w:r>
      <w:r>
        <w:rPr>
          <w:rFonts w:ascii="宋体" w:hAnsi="宋体" w:hint="eastAsia"/>
          <w:szCs w:val="21"/>
        </w:rPr>
        <w:t>、及时性、简明性和易得性</w:t>
      </w:r>
      <w:r>
        <w:rPr>
          <w:rFonts w:ascii="宋体" w:hAnsi="宋体"/>
          <w:szCs w:val="21"/>
        </w:rPr>
        <w:t>。</w:t>
      </w:r>
    </w:p>
    <w:p w14:paraId="1138048A"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本基金信息披露义务人应当在中国证监会规定时间内，将应予披露的基金信息通过中国证监会指定</w:t>
      </w:r>
      <w:r>
        <w:rPr>
          <w:rFonts w:ascii="宋体" w:hAnsi="宋体" w:hint="eastAsia"/>
          <w:szCs w:val="21"/>
        </w:rPr>
        <w:t>的</w:t>
      </w:r>
      <w:r>
        <w:rPr>
          <w:rFonts w:ascii="宋体" w:hAnsi="宋体" w:hint="eastAsia"/>
          <w:bCs/>
          <w:szCs w:val="21"/>
        </w:rPr>
        <w:t>全国性报刊（以下简称“指定报刊”）及指定互联网网站（以下简称“指定网站”）等</w:t>
      </w:r>
      <w:r>
        <w:rPr>
          <w:rFonts w:ascii="宋体" w:hAnsi="宋体"/>
          <w:szCs w:val="21"/>
        </w:rPr>
        <w:t>媒介披露，并保证基金投资</w:t>
      </w:r>
      <w:r>
        <w:rPr>
          <w:rFonts w:ascii="宋体" w:hAnsi="宋体" w:hint="eastAsia"/>
          <w:szCs w:val="21"/>
        </w:rPr>
        <w:t>者</w:t>
      </w:r>
      <w:r>
        <w:rPr>
          <w:rFonts w:ascii="宋体" w:hAnsi="宋体"/>
          <w:szCs w:val="21"/>
        </w:rPr>
        <w:t>能够按照《基金合同》约定的时间和方式查阅或者复制公开披露的信息资料。</w:t>
      </w:r>
    </w:p>
    <w:p w14:paraId="2D12D0D1" w14:textId="77777777" w:rsidR="00706097" w:rsidRDefault="00706097">
      <w:pPr>
        <w:adjustRightInd w:val="0"/>
        <w:snapToGrid w:val="0"/>
        <w:spacing w:line="360" w:lineRule="auto"/>
        <w:ind w:firstLine="420"/>
        <w:rPr>
          <w:rFonts w:ascii="宋体" w:hAnsi="宋体"/>
          <w:bCs/>
          <w:szCs w:val="21"/>
        </w:rPr>
      </w:pPr>
    </w:p>
    <w:p w14:paraId="45E19B9F"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三、本基金信息披露义务人承诺公开披露的基金信息，不得有下列行为：</w:t>
      </w:r>
    </w:p>
    <w:p w14:paraId="7B1BF75A" w14:textId="77777777" w:rsidR="00706097" w:rsidRDefault="00DA6858">
      <w:pPr>
        <w:adjustRightInd w:val="0"/>
        <w:snapToGrid w:val="0"/>
        <w:spacing w:line="360" w:lineRule="auto"/>
        <w:ind w:firstLine="420"/>
        <w:rPr>
          <w:rFonts w:ascii="宋体" w:hAnsi="宋体"/>
          <w:szCs w:val="21"/>
        </w:rPr>
      </w:pPr>
      <w:r>
        <w:rPr>
          <w:rFonts w:ascii="宋体" w:hAnsi="宋体"/>
          <w:szCs w:val="21"/>
        </w:rPr>
        <w:t>1、虚假记载、误导性陈述或者重大遗漏；</w:t>
      </w:r>
    </w:p>
    <w:p w14:paraId="7AED3AAB" w14:textId="77777777" w:rsidR="00706097" w:rsidRDefault="00DA6858">
      <w:pPr>
        <w:adjustRightInd w:val="0"/>
        <w:snapToGrid w:val="0"/>
        <w:spacing w:line="360" w:lineRule="auto"/>
        <w:ind w:firstLine="420"/>
        <w:rPr>
          <w:rFonts w:ascii="宋体" w:hAnsi="宋体"/>
          <w:szCs w:val="21"/>
        </w:rPr>
      </w:pPr>
      <w:r>
        <w:rPr>
          <w:rFonts w:ascii="宋体" w:hAnsi="宋体"/>
          <w:szCs w:val="21"/>
        </w:rPr>
        <w:t>2、对证券投资业绩进行预测；</w:t>
      </w:r>
    </w:p>
    <w:p w14:paraId="79F09F70" w14:textId="77777777" w:rsidR="00706097" w:rsidRDefault="00DA6858">
      <w:pPr>
        <w:adjustRightInd w:val="0"/>
        <w:snapToGrid w:val="0"/>
        <w:spacing w:line="360" w:lineRule="auto"/>
        <w:ind w:firstLine="420"/>
        <w:rPr>
          <w:rFonts w:ascii="宋体" w:hAnsi="宋体"/>
          <w:szCs w:val="21"/>
        </w:rPr>
      </w:pPr>
      <w:r>
        <w:rPr>
          <w:rFonts w:ascii="宋体" w:hAnsi="宋体"/>
          <w:szCs w:val="21"/>
        </w:rPr>
        <w:t>3、违规承诺收益或者承担损失；</w:t>
      </w:r>
    </w:p>
    <w:p w14:paraId="1F218C7E" w14:textId="77777777" w:rsidR="00706097" w:rsidRDefault="00DA6858">
      <w:pPr>
        <w:adjustRightInd w:val="0"/>
        <w:snapToGrid w:val="0"/>
        <w:spacing w:line="360" w:lineRule="auto"/>
        <w:ind w:firstLine="420"/>
        <w:rPr>
          <w:rFonts w:ascii="宋体" w:hAnsi="宋体"/>
          <w:szCs w:val="21"/>
        </w:rPr>
      </w:pPr>
      <w:r>
        <w:rPr>
          <w:rFonts w:ascii="宋体" w:hAnsi="宋体"/>
          <w:szCs w:val="21"/>
        </w:rPr>
        <w:t>4、诋毁其他基金管理人、基金托管人或者基金销售机构；</w:t>
      </w:r>
    </w:p>
    <w:p w14:paraId="65177A8A" w14:textId="77777777" w:rsidR="00706097" w:rsidRDefault="00DA6858">
      <w:pPr>
        <w:adjustRightInd w:val="0"/>
        <w:snapToGrid w:val="0"/>
        <w:spacing w:line="360" w:lineRule="auto"/>
        <w:ind w:firstLine="420"/>
        <w:rPr>
          <w:rFonts w:ascii="宋体" w:hAnsi="宋体"/>
          <w:szCs w:val="21"/>
        </w:rPr>
      </w:pPr>
      <w:r>
        <w:rPr>
          <w:rFonts w:ascii="宋体" w:hAnsi="宋体"/>
          <w:szCs w:val="21"/>
        </w:rPr>
        <w:t>5、登载任何自然人、法人</w:t>
      </w:r>
      <w:r>
        <w:rPr>
          <w:rFonts w:ascii="宋体" w:hAnsi="宋体" w:hint="eastAsia"/>
          <w:szCs w:val="21"/>
        </w:rPr>
        <w:t>和非法人</w:t>
      </w:r>
      <w:r>
        <w:rPr>
          <w:rFonts w:ascii="宋体" w:hAnsi="宋体"/>
          <w:szCs w:val="21"/>
        </w:rPr>
        <w:t>组织的祝贺性、恭维性或推荐性的文字；</w:t>
      </w:r>
    </w:p>
    <w:p w14:paraId="50C4E5E2" w14:textId="77777777" w:rsidR="00706097" w:rsidRDefault="00DA6858">
      <w:pPr>
        <w:adjustRightInd w:val="0"/>
        <w:snapToGrid w:val="0"/>
        <w:spacing w:line="360" w:lineRule="auto"/>
        <w:ind w:firstLine="420"/>
        <w:rPr>
          <w:rFonts w:ascii="宋体" w:hAnsi="宋体"/>
          <w:szCs w:val="21"/>
        </w:rPr>
      </w:pPr>
      <w:r>
        <w:rPr>
          <w:rFonts w:ascii="宋体" w:hAnsi="宋体"/>
          <w:szCs w:val="21"/>
        </w:rPr>
        <w:t>6、中国证监会禁止的其他行为。</w:t>
      </w:r>
    </w:p>
    <w:p w14:paraId="2CB40291" w14:textId="77777777" w:rsidR="00706097" w:rsidRDefault="00706097">
      <w:pPr>
        <w:adjustRightInd w:val="0"/>
        <w:snapToGrid w:val="0"/>
        <w:spacing w:line="360" w:lineRule="auto"/>
        <w:ind w:firstLine="420"/>
        <w:rPr>
          <w:rFonts w:ascii="宋体" w:hAnsi="宋体"/>
          <w:szCs w:val="21"/>
        </w:rPr>
      </w:pPr>
    </w:p>
    <w:p w14:paraId="10D34AFF"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四、本基金公开披露的信息应采用中文文本。如同时采用外文文本的，基金信息披露义务人应保证</w:t>
      </w:r>
      <w:r>
        <w:rPr>
          <w:rFonts w:ascii="宋体" w:hAnsi="宋体" w:hint="eastAsia"/>
          <w:b/>
          <w:szCs w:val="21"/>
        </w:rPr>
        <w:t>不同</w:t>
      </w:r>
      <w:r>
        <w:rPr>
          <w:rFonts w:ascii="宋体" w:hAnsi="宋体"/>
          <w:b/>
          <w:szCs w:val="21"/>
        </w:rPr>
        <w:t>文本的内容一致。</w:t>
      </w:r>
      <w:r>
        <w:rPr>
          <w:rFonts w:ascii="宋体" w:hAnsi="宋体" w:hint="eastAsia"/>
          <w:b/>
          <w:szCs w:val="21"/>
        </w:rPr>
        <w:t>不同</w:t>
      </w:r>
      <w:r>
        <w:rPr>
          <w:rFonts w:ascii="宋体" w:hAnsi="宋体"/>
          <w:b/>
          <w:szCs w:val="21"/>
        </w:rPr>
        <w:t>文本</w:t>
      </w:r>
      <w:r>
        <w:rPr>
          <w:rFonts w:ascii="宋体" w:hAnsi="宋体" w:hint="eastAsia"/>
          <w:b/>
          <w:szCs w:val="21"/>
        </w:rPr>
        <w:t>之间</w:t>
      </w:r>
      <w:r>
        <w:rPr>
          <w:rFonts w:ascii="宋体" w:hAnsi="宋体"/>
          <w:b/>
          <w:szCs w:val="21"/>
        </w:rPr>
        <w:t>发生歧义的，以中文文本为准。</w:t>
      </w:r>
    </w:p>
    <w:p w14:paraId="14F0D5B5"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本基金公开披露的信息采用阿拉伯数字；除特别说明外，货币单位为人民币元。</w:t>
      </w:r>
    </w:p>
    <w:p w14:paraId="764335A6" w14:textId="77777777" w:rsidR="00706097" w:rsidRDefault="00706097">
      <w:pPr>
        <w:adjustRightInd w:val="0"/>
        <w:snapToGrid w:val="0"/>
        <w:spacing w:line="360" w:lineRule="auto"/>
        <w:ind w:firstLine="420"/>
        <w:rPr>
          <w:rFonts w:ascii="宋体" w:hAnsi="宋体"/>
          <w:bCs/>
          <w:szCs w:val="21"/>
        </w:rPr>
      </w:pPr>
    </w:p>
    <w:p w14:paraId="0B6E2AA7"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五、公开披露的基金信息</w:t>
      </w:r>
    </w:p>
    <w:p w14:paraId="1C66FA33" w14:textId="77777777" w:rsidR="00706097" w:rsidRDefault="00DA6858">
      <w:pPr>
        <w:adjustRightInd w:val="0"/>
        <w:snapToGrid w:val="0"/>
        <w:spacing w:line="360" w:lineRule="auto"/>
        <w:ind w:firstLine="420"/>
        <w:rPr>
          <w:rFonts w:ascii="宋体" w:hAnsi="宋体"/>
          <w:szCs w:val="21"/>
        </w:rPr>
      </w:pPr>
      <w:r>
        <w:rPr>
          <w:rFonts w:ascii="宋体" w:hAnsi="宋体"/>
          <w:szCs w:val="21"/>
        </w:rPr>
        <w:t>公开披露的基金信息包括：</w:t>
      </w:r>
    </w:p>
    <w:p w14:paraId="35992C7A" w14:textId="77777777" w:rsidR="00706097" w:rsidRDefault="00DA6858">
      <w:pPr>
        <w:adjustRightInd w:val="0"/>
        <w:snapToGrid w:val="0"/>
        <w:spacing w:line="360" w:lineRule="auto"/>
        <w:ind w:firstLine="420"/>
        <w:rPr>
          <w:rFonts w:ascii="宋体" w:hAnsi="宋体"/>
          <w:szCs w:val="21"/>
        </w:rPr>
      </w:pPr>
      <w:r>
        <w:rPr>
          <w:rFonts w:ascii="宋体" w:hAnsi="宋体"/>
          <w:szCs w:val="21"/>
        </w:rPr>
        <w:t>（一）基金招募说明书、《基金合同》、基金托管协议</w:t>
      </w:r>
      <w:r>
        <w:rPr>
          <w:rFonts w:ascii="宋体" w:hAnsi="宋体" w:hint="eastAsia"/>
          <w:szCs w:val="21"/>
        </w:rPr>
        <w:t>、基金产品资料概要</w:t>
      </w:r>
    </w:p>
    <w:p w14:paraId="504C15C4"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1、《基金合同》是界定《基金合同》当事人的各项权利、义务关系，明确基金份额持</w:t>
      </w:r>
      <w:r>
        <w:rPr>
          <w:rFonts w:ascii="宋体" w:hAnsi="宋体"/>
          <w:szCs w:val="21"/>
        </w:rPr>
        <w:lastRenderedPageBreak/>
        <w:t>有人大会召开的规则及具体程序，说明基金产品的特性等涉及基金投资</w:t>
      </w:r>
      <w:r>
        <w:rPr>
          <w:rFonts w:ascii="宋体" w:hAnsi="宋体" w:hint="eastAsia"/>
          <w:szCs w:val="21"/>
        </w:rPr>
        <w:t>者</w:t>
      </w:r>
      <w:r>
        <w:rPr>
          <w:rFonts w:ascii="宋体" w:hAnsi="宋体"/>
          <w:szCs w:val="21"/>
        </w:rPr>
        <w:t>重大利益的事项的法律文件。</w:t>
      </w:r>
    </w:p>
    <w:p w14:paraId="11EBEB0E"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2、基金招募说明书应当最大限度地披露影响基金投资</w:t>
      </w:r>
      <w:r>
        <w:rPr>
          <w:rFonts w:ascii="宋体" w:hAnsi="宋体" w:hint="eastAsia"/>
          <w:szCs w:val="21"/>
        </w:rPr>
        <w:t>者</w:t>
      </w:r>
      <w:r>
        <w:rPr>
          <w:rFonts w:ascii="宋体" w:hAnsi="宋体"/>
          <w:szCs w:val="21"/>
        </w:rPr>
        <w:t>决策的全部事项，说明基金认购、申购和赎回安排、基金投资、基金产品特性、风险揭示、信息披露及基金份额持有人服务等内容。《基金合同》生效后，</w:t>
      </w:r>
      <w:r>
        <w:rPr>
          <w:rFonts w:ascii="宋体" w:hAnsi="宋体" w:hint="eastAsia"/>
          <w:szCs w:val="21"/>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2A52C5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5A1C3B1" w14:textId="77777777" w:rsidR="00706097" w:rsidRDefault="00DA6858">
      <w:pPr>
        <w:adjustRightInd w:val="0"/>
        <w:snapToGrid w:val="0"/>
        <w:spacing w:line="360" w:lineRule="auto"/>
        <w:ind w:firstLine="420"/>
        <w:rPr>
          <w:rFonts w:ascii="宋体" w:hAnsi="宋体"/>
          <w:szCs w:val="21"/>
        </w:rPr>
      </w:pPr>
      <w:r>
        <w:rPr>
          <w:rFonts w:ascii="宋体" w:hAnsi="宋体"/>
          <w:szCs w:val="21"/>
        </w:rPr>
        <w:t>4、基金托管协议是界定基金托管人和基金管理人在基金财产保管及基金运作监督等活动中的权利、义务关系的法律文件。</w:t>
      </w:r>
    </w:p>
    <w:p w14:paraId="19DD33D8"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基金募集申请经中国证监会</w:t>
      </w:r>
      <w:r>
        <w:rPr>
          <w:rFonts w:ascii="宋体" w:hAnsi="宋体" w:hint="eastAsia"/>
          <w:szCs w:val="21"/>
        </w:rPr>
        <w:t>注册</w:t>
      </w:r>
      <w:r>
        <w:rPr>
          <w:rFonts w:ascii="宋体" w:hAnsi="宋体"/>
          <w:szCs w:val="21"/>
        </w:rPr>
        <w:t>后，基金管理人在基金份额发售的三日前，</w:t>
      </w:r>
      <w:r>
        <w:rPr>
          <w:rFonts w:ascii="宋体" w:hAnsi="宋体" w:hint="eastAsia"/>
          <w:szCs w:val="21"/>
        </w:rPr>
        <w:t>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w:t>
      </w:r>
      <w:r>
        <w:rPr>
          <w:rFonts w:ascii="宋体" w:hAnsi="宋体"/>
          <w:szCs w:val="21"/>
        </w:rPr>
        <w:t>；基金托管人应当</w:t>
      </w:r>
      <w:r>
        <w:rPr>
          <w:rFonts w:ascii="宋体" w:hAnsi="宋体" w:hint="eastAsia"/>
          <w:szCs w:val="21"/>
        </w:rPr>
        <w:t>同时</w:t>
      </w:r>
      <w:r>
        <w:rPr>
          <w:rFonts w:ascii="宋体" w:hAnsi="宋体"/>
          <w:szCs w:val="21"/>
        </w:rPr>
        <w:t>将《基金合同》、基金托管协议登载在</w:t>
      </w:r>
      <w:r>
        <w:rPr>
          <w:rFonts w:ascii="宋体" w:hAnsi="宋体" w:hint="eastAsia"/>
          <w:szCs w:val="21"/>
        </w:rPr>
        <w:t>指定</w:t>
      </w:r>
      <w:r>
        <w:rPr>
          <w:rFonts w:ascii="宋体" w:hAnsi="宋体"/>
          <w:szCs w:val="21"/>
        </w:rPr>
        <w:t>网站上。</w:t>
      </w:r>
    </w:p>
    <w:p w14:paraId="561AB770" w14:textId="77777777" w:rsidR="00706097" w:rsidRDefault="00DA6858">
      <w:pPr>
        <w:adjustRightInd w:val="0"/>
        <w:snapToGrid w:val="0"/>
        <w:spacing w:line="360" w:lineRule="auto"/>
        <w:ind w:firstLine="420"/>
        <w:rPr>
          <w:rFonts w:ascii="宋体" w:hAnsi="宋体"/>
          <w:szCs w:val="21"/>
        </w:rPr>
      </w:pPr>
      <w:r>
        <w:rPr>
          <w:rFonts w:ascii="宋体" w:hAnsi="宋体"/>
          <w:szCs w:val="21"/>
        </w:rPr>
        <w:t>（二）基金份额发售公告</w:t>
      </w:r>
    </w:p>
    <w:p w14:paraId="59FC38F3"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基金管理人应当就基金份额发售的具体事宜编制基金份额发售公告，并在披露招募说明书的当日登载于指定媒介上。</w:t>
      </w:r>
    </w:p>
    <w:p w14:paraId="3C21A662" w14:textId="77777777" w:rsidR="00706097" w:rsidRDefault="00DA6858">
      <w:pPr>
        <w:adjustRightInd w:val="0"/>
        <w:snapToGrid w:val="0"/>
        <w:spacing w:line="360" w:lineRule="auto"/>
        <w:ind w:firstLine="420"/>
        <w:rPr>
          <w:rFonts w:ascii="宋体" w:hAnsi="宋体"/>
          <w:szCs w:val="21"/>
        </w:rPr>
      </w:pPr>
      <w:r>
        <w:rPr>
          <w:rFonts w:ascii="宋体" w:hAnsi="宋体"/>
          <w:szCs w:val="21"/>
        </w:rPr>
        <w:t>（三）《基金合同》生效公告</w:t>
      </w:r>
    </w:p>
    <w:p w14:paraId="71F8CADA"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基金管理人应当在收到中国证监会确认文件的次日在指定媒介上登载《基金合同》生效公告。</w:t>
      </w:r>
    </w:p>
    <w:p w14:paraId="708AF172" w14:textId="77777777" w:rsidR="00706097" w:rsidRDefault="00DA6858">
      <w:pPr>
        <w:adjustRightInd w:val="0"/>
        <w:snapToGrid w:val="0"/>
        <w:spacing w:line="360" w:lineRule="auto"/>
        <w:ind w:firstLine="420"/>
        <w:rPr>
          <w:rFonts w:ascii="宋体" w:hAnsi="宋体"/>
          <w:szCs w:val="21"/>
        </w:rPr>
      </w:pPr>
      <w:r>
        <w:rPr>
          <w:rFonts w:ascii="宋体" w:hAnsi="宋体"/>
          <w:szCs w:val="21"/>
        </w:rPr>
        <w:t>（四）基金净值</w:t>
      </w:r>
      <w:r>
        <w:rPr>
          <w:rFonts w:ascii="宋体" w:hAnsi="宋体" w:hint="eastAsia"/>
          <w:szCs w:val="21"/>
        </w:rPr>
        <w:t>信息</w:t>
      </w:r>
    </w:p>
    <w:p w14:paraId="1D5DA41E"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《基金合同》生效后，在开始办理基金份额申购或者赎回前，基金管理人应当至少每周在指定网站披露一次各类基金份额的基金份额净值和基金份额累计净值。</w:t>
      </w:r>
    </w:p>
    <w:p w14:paraId="2C6DD68F"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在开始办理基金份额申购或者赎回后，基金管理人应当在不晚于每个开放日的次日，通过指定网站、基金销售机构网站或营业网点披露开放日各类基金份额的基金份额净值和基金份额累计净值。</w:t>
      </w:r>
    </w:p>
    <w:p w14:paraId="0CCD069E"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基金管理人应在不晚于半年度和年度最后一日的次日，在指定网站披露半年度和年度最后一日各类基金份额的基金份额净值和基金份额累计净值。</w:t>
      </w:r>
    </w:p>
    <w:p w14:paraId="308386A2"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（五）基金份额申购、赎回价格</w:t>
      </w:r>
    </w:p>
    <w:p w14:paraId="40D0C746"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基金管理人应当在《基金合同》、招募说明书等信息披露文件上载</w:t>
      </w:r>
      <w:proofErr w:type="gramStart"/>
      <w:r>
        <w:rPr>
          <w:rFonts w:ascii="宋体" w:hAnsi="宋体" w:hint="eastAsia"/>
          <w:bCs/>
          <w:szCs w:val="21"/>
        </w:rPr>
        <w:t>明基金</w:t>
      </w:r>
      <w:proofErr w:type="gramEnd"/>
      <w:r>
        <w:rPr>
          <w:rFonts w:ascii="宋体" w:hAnsi="宋体" w:hint="eastAsia"/>
          <w:bCs/>
          <w:szCs w:val="21"/>
        </w:rPr>
        <w:t>份额申购、赎回价格的计算方式及有关申购、赎回费率，并保证投资者能够在基金销售机构网站或营业网点查阅或者复制前述信息资料。</w:t>
      </w:r>
    </w:p>
    <w:p w14:paraId="24799AC7" w14:textId="77777777" w:rsidR="00706097" w:rsidRDefault="00DA6858">
      <w:pPr>
        <w:adjustRightInd w:val="0"/>
        <w:snapToGrid w:val="0"/>
        <w:spacing w:line="360" w:lineRule="auto"/>
        <w:ind w:firstLine="420"/>
        <w:rPr>
          <w:rFonts w:ascii="宋体" w:hAnsi="宋体"/>
          <w:szCs w:val="21"/>
        </w:rPr>
      </w:pPr>
      <w:r>
        <w:rPr>
          <w:rFonts w:ascii="宋体" w:hAnsi="宋体"/>
          <w:szCs w:val="21"/>
        </w:rPr>
        <w:t>（六）基金定期报告，包括基金年度报告、基金</w:t>
      </w:r>
      <w:r>
        <w:rPr>
          <w:rFonts w:ascii="宋体" w:hAnsi="宋体" w:hint="eastAsia"/>
          <w:szCs w:val="21"/>
        </w:rPr>
        <w:t>中期</w:t>
      </w:r>
      <w:r>
        <w:rPr>
          <w:rFonts w:ascii="宋体" w:hAnsi="宋体"/>
          <w:szCs w:val="21"/>
        </w:rPr>
        <w:t>报告和基金季度报告</w:t>
      </w:r>
    </w:p>
    <w:p w14:paraId="68338FAB"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基金管理人应当在每年结束之日起三</w:t>
      </w:r>
      <w:r>
        <w:rPr>
          <w:rFonts w:ascii="宋体" w:hAnsi="宋体" w:hint="eastAsia"/>
          <w:szCs w:val="21"/>
        </w:rPr>
        <w:t>个月</w:t>
      </w:r>
      <w:r>
        <w:rPr>
          <w:rFonts w:ascii="宋体" w:hAnsi="宋体"/>
          <w:szCs w:val="21"/>
        </w:rPr>
        <w:t>内，编制完成基金年度报告，将年度报告登载于</w:t>
      </w:r>
      <w:r>
        <w:rPr>
          <w:rFonts w:ascii="宋体" w:hAnsi="宋体" w:hint="eastAsia"/>
          <w:szCs w:val="21"/>
        </w:rPr>
        <w:t>指定</w:t>
      </w:r>
      <w:r>
        <w:rPr>
          <w:rFonts w:ascii="宋体" w:hAnsi="宋体"/>
          <w:szCs w:val="21"/>
        </w:rPr>
        <w:t>网站上，并将年度报告</w:t>
      </w:r>
      <w:r>
        <w:rPr>
          <w:rFonts w:ascii="宋体" w:hAnsi="宋体" w:hint="eastAsia"/>
          <w:szCs w:val="21"/>
        </w:rPr>
        <w:t>提示性公告登载在指定报刊上</w:t>
      </w:r>
      <w:r>
        <w:rPr>
          <w:rFonts w:ascii="宋体" w:hAnsi="宋体"/>
          <w:szCs w:val="21"/>
        </w:rPr>
        <w:t>。基金年度报告</w:t>
      </w:r>
      <w:r>
        <w:rPr>
          <w:rFonts w:ascii="宋体" w:hAnsi="宋体" w:hint="eastAsia"/>
          <w:szCs w:val="21"/>
        </w:rPr>
        <w:t>中</w:t>
      </w:r>
      <w:r>
        <w:rPr>
          <w:rFonts w:ascii="宋体" w:hAnsi="宋体"/>
          <w:szCs w:val="21"/>
        </w:rPr>
        <w:t>的财务会计报告应当经过</w:t>
      </w:r>
      <w:r>
        <w:rPr>
          <w:rFonts w:ascii="宋体" w:hAnsi="宋体" w:hint="eastAsia"/>
          <w:szCs w:val="21"/>
        </w:rPr>
        <w:t>具有证券、期货相关业务资格的会计师事务所</w:t>
      </w:r>
      <w:r>
        <w:rPr>
          <w:rFonts w:ascii="宋体" w:hAnsi="宋体"/>
          <w:szCs w:val="21"/>
        </w:rPr>
        <w:t>审计。</w:t>
      </w:r>
    </w:p>
    <w:p w14:paraId="1D1B88FC"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基金管理人应当在上半年结束之日起两</w:t>
      </w:r>
      <w:r>
        <w:rPr>
          <w:rFonts w:ascii="宋体" w:hAnsi="宋体" w:hint="eastAsia"/>
          <w:szCs w:val="21"/>
        </w:rPr>
        <w:t>个月</w:t>
      </w:r>
      <w:r>
        <w:rPr>
          <w:rFonts w:ascii="宋体" w:hAnsi="宋体"/>
          <w:szCs w:val="21"/>
        </w:rPr>
        <w:t>内，编制完成基金</w:t>
      </w:r>
      <w:r>
        <w:rPr>
          <w:rFonts w:ascii="宋体" w:hAnsi="宋体" w:hint="eastAsia"/>
          <w:szCs w:val="21"/>
        </w:rPr>
        <w:t>中期</w:t>
      </w:r>
      <w:r>
        <w:rPr>
          <w:rFonts w:ascii="宋体" w:hAnsi="宋体"/>
          <w:szCs w:val="21"/>
        </w:rPr>
        <w:t>报告，将</w:t>
      </w:r>
      <w:r>
        <w:rPr>
          <w:rFonts w:ascii="宋体" w:hAnsi="宋体" w:hint="eastAsia"/>
          <w:szCs w:val="21"/>
        </w:rPr>
        <w:t>中期</w:t>
      </w:r>
      <w:r>
        <w:rPr>
          <w:rFonts w:ascii="宋体" w:hAnsi="宋体"/>
          <w:szCs w:val="21"/>
        </w:rPr>
        <w:t>报告登载在</w:t>
      </w:r>
      <w:r>
        <w:rPr>
          <w:rFonts w:ascii="宋体" w:hAnsi="宋体" w:hint="eastAsia"/>
          <w:szCs w:val="21"/>
        </w:rPr>
        <w:t>指定</w:t>
      </w:r>
      <w:r>
        <w:rPr>
          <w:rFonts w:ascii="宋体" w:hAnsi="宋体"/>
          <w:szCs w:val="21"/>
        </w:rPr>
        <w:t>网站上，并将</w:t>
      </w:r>
      <w:r>
        <w:rPr>
          <w:rFonts w:ascii="宋体" w:hAnsi="宋体" w:hint="eastAsia"/>
          <w:szCs w:val="21"/>
        </w:rPr>
        <w:t>中期</w:t>
      </w:r>
      <w:r>
        <w:rPr>
          <w:rFonts w:ascii="宋体" w:hAnsi="宋体"/>
          <w:szCs w:val="21"/>
        </w:rPr>
        <w:t>报告</w:t>
      </w:r>
      <w:r>
        <w:rPr>
          <w:rFonts w:ascii="宋体" w:hAnsi="宋体" w:hint="eastAsia"/>
          <w:szCs w:val="21"/>
        </w:rPr>
        <w:t>提示性公告登载在指定报刊上</w:t>
      </w:r>
      <w:r>
        <w:rPr>
          <w:rFonts w:ascii="宋体" w:hAnsi="宋体"/>
          <w:szCs w:val="21"/>
        </w:rPr>
        <w:t>。</w:t>
      </w:r>
    </w:p>
    <w:p w14:paraId="4462FAAC"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基金管理人应当在季度结束之日起15个工作日内，编制完成基金季度报告，将季度报告登载在指定</w:t>
      </w:r>
      <w:r>
        <w:rPr>
          <w:rFonts w:ascii="宋体" w:hAnsi="宋体" w:hint="eastAsia"/>
          <w:szCs w:val="21"/>
        </w:rPr>
        <w:t>网站上，并将季度报告提示性公告登载在指定报刊上</w:t>
      </w:r>
      <w:r>
        <w:rPr>
          <w:rFonts w:ascii="宋体" w:hAnsi="宋体"/>
          <w:szCs w:val="21"/>
        </w:rPr>
        <w:t>。</w:t>
      </w:r>
    </w:p>
    <w:p w14:paraId="24376B22"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《基金合同》生效不足2个月的，基金管理人可以不编制当期季度报告、</w:t>
      </w:r>
      <w:r>
        <w:rPr>
          <w:rFonts w:ascii="宋体" w:hAnsi="宋体" w:hint="eastAsia"/>
          <w:szCs w:val="21"/>
        </w:rPr>
        <w:t>中期</w:t>
      </w:r>
      <w:r>
        <w:rPr>
          <w:rFonts w:ascii="宋体" w:hAnsi="宋体"/>
          <w:szCs w:val="21"/>
        </w:rPr>
        <w:t>报告或者年度报告。</w:t>
      </w:r>
    </w:p>
    <w:p w14:paraId="7D15B83C"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如报告期内出现单一投资者持有基金份额达到或超过基金总份额20%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4549E18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基金管理人应当在基金年度报告和中期报告中披露基金组合资产情况及其流动性风险分析等。</w:t>
      </w:r>
    </w:p>
    <w:p w14:paraId="3E5E3BD5" w14:textId="77777777" w:rsidR="00706097" w:rsidRDefault="00DA6858">
      <w:pPr>
        <w:adjustRightInd w:val="0"/>
        <w:snapToGrid w:val="0"/>
        <w:spacing w:line="360" w:lineRule="auto"/>
        <w:ind w:firstLine="420"/>
        <w:rPr>
          <w:rFonts w:ascii="宋体" w:hAnsi="宋体"/>
          <w:szCs w:val="21"/>
        </w:rPr>
      </w:pPr>
      <w:r>
        <w:rPr>
          <w:rFonts w:ascii="宋体" w:hAnsi="宋体"/>
          <w:szCs w:val="21"/>
        </w:rPr>
        <w:t>（七）临时报告</w:t>
      </w:r>
    </w:p>
    <w:p w14:paraId="402A25E8" w14:textId="77777777" w:rsidR="00706097" w:rsidRDefault="00DA6858">
      <w:pPr>
        <w:adjustRightInd w:val="0"/>
        <w:snapToGrid w:val="0"/>
        <w:spacing w:line="360" w:lineRule="auto"/>
        <w:ind w:firstLine="420"/>
        <w:rPr>
          <w:rFonts w:ascii="宋体" w:hAnsi="宋体"/>
          <w:szCs w:val="21"/>
        </w:rPr>
      </w:pPr>
      <w:r>
        <w:rPr>
          <w:rFonts w:ascii="宋体" w:hAnsi="宋体"/>
          <w:szCs w:val="21"/>
        </w:rPr>
        <w:t>本基金发生重大事件，有关信息披露义务人应当在2日内编制临时报告书，</w:t>
      </w:r>
      <w:r>
        <w:rPr>
          <w:rFonts w:ascii="宋体" w:hAnsi="宋体" w:hint="eastAsia"/>
          <w:szCs w:val="21"/>
        </w:rPr>
        <w:t>并登载在指定报刊和指定网站上</w:t>
      </w:r>
      <w:r>
        <w:rPr>
          <w:rFonts w:ascii="宋体" w:hAnsi="宋体"/>
          <w:szCs w:val="21"/>
        </w:rPr>
        <w:t>。</w:t>
      </w:r>
    </w:p>
    <w:p w14:paraId="2BFD12B8" w14:textId="77777777" w:rsidR="00706097" w:rsidRDefault="00DA6858">
      <w:pPr>
        <w:adjustRightInd w:val="0"/>
        <w:snapToGrid w:val="0"/>
        <w:spacing w:line="360" w:lineRule="auto"/>
        <w:ind w:firstLine="420"/>
        <w:rPr>
          <w:rFonts w:ascii="宋体" w:hAnsi="宋体"/>
          <w:szCs w:val="21"/>
        </w:rPr>
      </w:pPr>
      <w:r>
        <w:rPr>
          <w:rFonts w:ascii="宋体" w:hAnsi="宋体"/>
          <w:szCs w:val="21"/>
        </w:rPr>
        <w:t>前款所称重大事件，是指可能对基金份额持有人权益或者基金份额的价格产生重大影响的下列事件：</w:t>
      </w:r>
    </w:p>
    <w:p w14:paraId="26C3E3BA"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1、基金份额持有人大会的召开</w:t>
      </w:r>
      <w:r>
        <w:rPr>
          <w:rFonts w:ascii="宋体" w:hAnsi="宋体" w:hint="eastAsia"/>
          <w:szCs w:val="21"/>
        </w:rPr>
        <w:t>及决定的事项</w:t>
      </w:r>
      <w:r>
        <w:rPr>
          <w:rFonts w:ascii="宋体" w:hAnsi="宋体"/>
          <w:szCs w:val="21"/>
        </w:rPr>
        <w:t>；</w:t>
      </w:r>
    </w:p>
    <w:p w14:paraId="440429F7"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2、《基金合同》</w:t>
      </w:r>
      <w:r>
        <w:rPr>
          <w:rFonts w:ascii="宋体" w:hAnsi="宋体" w:hint="eastAsia"/>
          <w:szCs w:val="21"/>
        </w:rPr>
        <w:t>终止、基金清算</w:t>
      </w:r>
      <w:r>
        <w:rPr>
          <w:rFonts w:ascii="宋体" w:hAnsi="宋体"/>
          <w:szCs w:val="21"/>
        </w:rPr>
        <w:t>；</w:t>
      </w:r>
    </w:p>
    <w:p w14:paraId="6ECAC8F0" w14:textId="77777777" w:rsidR="00706097" w:rsidRDefault="00DA6858">
      <w:pPr>
        <w:adjustRightInd w:val="0"/>
        <w:snapToGrid w:val="0"/>
        <w:spacing w:line="360" w:lineRule="auto"/>
        <w:ind w:firstLine="420"/>
        <w:rPr>
          <w:rFonts w:ascii="宋体" w:hAnsi="宋体"/>
          <w:szCs w:val="21"/>
        </w:rPr>
      </w:pPr>
      <w:r>
        <w:rPr>
          <w:rFonts w:ascii="宋体" w:hAnsi="宋体"/>
          <w:szCs w:val="21"/>
        </w:rPr>
        <w:t>3、转换基金运作方式</w:t>
      </w:r>
      <w:r>
        <w:rPr>
          <w:rFonts w:ascii="宋体" w:hAnsi="宋体" w:hint="eastAsia"/>
          <w:szCs w:val="21"/>
        </w:rPr>
        <w:t>、基金合并</w:t>
      </w:r>
      <w:r>
        <w:rPr>
          <w:rFonts w:ascii="宋体" w:hAnsi="宋体"/>
          <w:szCs w:val="21"/>
        </w:rPr>
        <w:t>；</w:t>
      </w:r>
    </w:p>
    <w:p w14:paraId="748B81B7" w14:textId="77777777" w:rsidR="00706097" w:rsidRDefault="00DA6858">
      <w:pPr>
        <w:adjustRightInd w:val="0"/>
        <w:snapToGrid w:val="0"/>
        <w:spacing w:line="360" w:lineRule="auto"/>
        <w:ind w:firstLine="420"/>
        <w:rPr>
          <w:rFonts w:ascii="宋体" w:hAnsi="宋体"/>
          <w:szCs w:val="21"/>
        </w:rPr>
      </w:pPr>
      <w:r>
        <w:rPr>
          <w:rFonts w:ascii="宋体" w:hAnsi="宋体"/>
          <w:szCs w:val="21"/>
        </w:rPr>
        <w:t>4、更换基金管理人、基金托管人</w:t>
      </w:r>
      <w:r>
        <w:rPr>
          <w:rFonts w:ascii="宋体" w:hAnsi="宋体" w:hint="eastAsia"/>
          <w:szCs w:val="21"/>
        </w:rPr>
        <w:t>、基金份额登记机构，基金改聘会计师事务所；</w:t>
      </w:r>
    </w:p>
    <w:p w14:paraId="26FC444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5、基金管理人委托基金服务机构代为办理基金的份额登记、核算、估值等事项，基金托管人委托基金服务机构代为办理基金的核算、估值、复核等事项</w:t>
      </w:r>
      <w:r>
        <w:rPr>
          <w:rFonts w:ascii="宋体" w:hAnsi="宋体"/>
          <w:szCs w:val="21"/>
        </w:rPr>
        <w:t>；</w:t>
      </w:r>
    </w:p>
    <w:p w14:paraId="36D499A2" w14:textId="77777777" w:rsidR="00706097" w:rsidRDefault="00DA6858">
      <w:pPr>
        <w:adjustRightInd w:val="0"/>
        <w:snapToGrid w:val="0"/>
        <w:spacing w:line="360" w:lineRule="auto"/>
        <w:ind w:firstLine="420"/>
        <w:rPr>
          <w:rFonts w:ascii="宋体" w:hAnsi="宋体"/>
          <w:szCs w:val="21"/>
        </w:rPr>
      </w:pPr>
      <w:r>
        <w:rPr>
          <w:rFonts w:ascii="宋体" w:hAnsi="宋体"/>
          <w:szCs w:val="21"/>
        </w:rPr>
        <w:t>6、基金管理人、基金托管人的法定名称、住所发生变更；</w:t>
      </w:r>
    </w:p>
    <w:p w14:paraId="1516B206" w14:textId="77777777" w:rsidR="00706097" w:rsidRDefault="00DA6858">
      <w:pPr>
        <w:adjustRightInd w:val="0"/>
        <w:snapToGrid w:val="0"/>
        <w:spacing w:line="360" w:lineRule="auto"/>
        <w:ind w:firstLine="420"/>
        <w:rPr>
          <w:rFonts w:ascii="宋体" w:hAnsi="宋体"/>
          <w:szCs w:val="21"/>
        </w:rPr>
      </w:pPr>
      <w:r>
        <w:rPr>
          <w:rFonts w:ascii="宋体" w:hAnsi="宋体"/>
          <w:szCs w:val="21"/>
        </w:rPr>
        <w:t>7、基金管理人</w:t>
      </w:r>
      <w:r>
        <w:rPr>
          <w:rFonts w:ascii="宋体" w:hAnsi="宋体" w:hint="eastAsia"/>
          <w:szCs w:val="21"/>
        </w:rPr>
        <w:t>变更持有百分之五以上股权的</w:t>
      </w:r>
      <w:r>
        <w:rPr>
          <w:rFonts w:ascii="宋体" w:hAnsi="宋体"/>
          <w:szCs w:val="21"/>
        </w:rPr>
        <w:t>股东</w:t>
      </w:r>
      <w:r>
        <w:rPr>
          <w:rFonts w:ascii="宋体" w:hAnsi="宋体" w:hint="eastAsia"/>
          <w:szCs w:val="21"/>
        </w:rPr>
        <w:t>、基金管理人的实际控制人变更</w:t>
      </w:r>
      <w:r>
        <w:rPr>
          <w:rFonts w:ascii="宋体" w:hAnsi="宋体"/>
          <w:szCs w:val="21"/>
        </w:rPr>
        <w:t>；</w:t>
      </w:r>
    </w:p>
    <w:p w14:paraId="22B83F50" w14:textId="77777777" w:rsidR="00706097" w:rsidRDefault="00DA6858">
      <w:pPr>
        <w:adjustRightInd w:val="0"/>
        <w:snapToGrid w:val="0"/>
        <w:spacing w:line="360" w:lineRule="auto"/>
        <w:ind w:firstLine="420"/>
        <w:rPr>
          <w:rFonts w:ascii="宋体" w:hAnsi="宋体"/>
          <w:szCs w:val="21"/>
        </w:rPr>
      </w:pPr>
      <w:r>
        <w:rPr>
          <w:rFonts w:ascii="宋体" w:hAnsi="宋体"/>
          <w:szCs w:val="21"/>
        </w:rPr>
        <w:t>8、基金募集期延长</w:t>
      </w:r>
      <w:r>
        <w:rPr>
          <w:rFonts w:ascii="宋体" w:hAnsi="宋体" w:hint="eastAsia"/>
          <w:szCs w:val="21"/>
        </w:rPr>
        <w:t>或提前结束募集</w:t>
      </w:r>
      <w:r>
        <w:rPr>
          <w:rFonts w:ascii="宋体" w:hAnsi="宋体"/>
          <w:szCs w:val="21"/>
        </w:rPr>
        <w:t>；</w:t>
      </w:r>
    </w:p>
    <w:p w14:paraId="11619D35"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9、基金管理人的高级管理人员、基金经理和基金托管人</w:t>
      </w:r>
      <w:r>
        <w:rPr>
          <w:rFonts w:ascii="宋体" w:hAnsi="宋体" w:hint="eastAsia"/>
          <w:szCs w:val="21"/>
        </w:rPr>
        <w:t>专门</w:t>
      </w:r>
      <w:r>
        <w:rPr>
          <w:rFonts w:ascii="宋体" w:hAnsi="宋体"/>
          <w:szCs w:val="21"/>
        </w:rPr>
        <w:t>基金托管部门负责人发生变动；</w:t>
      </w:r>
    </w:p>
    <w:p w14:paraId="68D8B61F" w14:textId="77777777" w:rsidR="00706097" w:rsidRDefault="00DA6858">
      <w:pPr>
        <w:adjustRightInd w:val="0"/>
        <w:snapToGrid w:val="0"/>
        <w:spacing w:line="360" w:lineRule="auto"/>
        <w:ind w:firstLine="420"/>
        <w:rPr>
          <w:rFonts w:ascii="宋体" w:hAnsi="宋体"/>
          <w:szCs w:val="21"/>
        </w:rPr>
      </w:pPr>
      <w:r>
        <w:rPr>
          <w:rFonts w:ascii="宋体" w:hAnsi="宋体"/>
          <w:szCs w:val="21"/>
        </w:rPr>
        <w:t>10、基金管理人的董事在</w:t>
      </w:r>
      <w:r>
        <w:rPr>
          <w:rFonts w:ascii="宋体" w:hAnsi="宋体" w:hint="eastAsia"/>
          <w:szCs w:val="21"/>
        </w:rPr>
        <w:t>最近1</w:t>
      </w:r>
      <w:r>
        <w:rPr>
          <w:rFonts w:ascii="宋体" w:hAnsi="宋体"/>
          <w:szCs w:val="21"/>
        </w:rPr>
        <w:t>2</w:t>
      </w:r>
      <w:r>
        <w:rPr>
          <w:rFonts w:ascii="宋体" w:hAnsi="宋体" w:hint="eastAsia"/>
          <w:szCs w:val="21"/>
        </w:rPr>
        <w:t>个月</w:t>
      </w:r>
      <w:r>
        <w:rPr>
          <w:rFonts w:ascii="宋体" w:hAnsi="宋体"/>
          <w:szCs w:val="21"/>
        </w:rPr>
        <w:t>内变更超过百分之五十</w:t>
      </w:r>
      <w:r>
        <w:rPr>
          <w:rFonts w:ascii="宋体" w:hAnsi="宋体" w:hint="eastAsia"/>
          <w:szCs w:val="21"/>
        </w:rPr>
        <w:t>，</w:t>
      </w:r>
      <w:r>
        <w:rPr>
          <w:rFonts w:ascii="宋体" w:hAnsi="宋体"/>
          <w:szCs w:val="21"/>
        </w:rPr>
        <w:t>基金管理人、基金托管人</w:t>
      </w:r>
      <w:r>
        <w:rPr>
          <w:rFonts w:ascii="宋体" w:hAnsi="宋体" w:hint="eastAsia"/>
          <w:szCs w:val="21"/>
        </w:rPr>
        <w:t>专门</w:t>
      </w:r>
      <w:r>
        <w:rPr>
          <w:rFonts w:ascii="宋体" w:hAnsi="宋体"/>
          <w:szCs w:val="21"/>
        </w:rPr>
        <w:t>基金托管部门的主要业务人员在</w:t>
      </w:r>
      <w:r>
        <w:rPr>
          <w:rFonts w:ascii="宋体" w:hAnsi="宋体" w:hint="eastAsia"/>
          <w:szCs w:val="21"/>
        </w:rPr>
        <w:t>最近12个月</w:t>
      </w:r>
      <w:r>
        <w:rPr>
          <w:rFonts w:ascii="宋体" w:hAnsi="宋体"/>
          <w:szCs w:val="21"/>
        </w:rPr>
        <w:t>内变动超过百分之三十；</w:t>
      </w:r>
    </w:p>
    <w:p w14:paraId="5CCFA21F" w14:textId="77777777" w:rsidR="00706097" w:rsidRDefault="00DA6858">
      <w:pPr>
        <w:adjustRightInd w:val="0"/>
        <w:snapToGrid w:val="0"/>
        <w:spacing w:line="360" w:lineRule="auto"/>
        <w:ind w:firstLine="420"/>
        <w:rPr>
          <w:rFonts w:ascii="宋体" w:hAnsi="宋体"/>
          <w:szCs w:val="21"/>
        </w:rPr>
      </w:pPr>
      <w:r>
        <w:rPr>
          <w:rFonts w:ascii="宋体" w:hAnsi="宋体"/>
          <w:szCs w:val="21"/>
        </w:rPr>
        <w:t>11、涉及</w:t>
      </w:r>
      <w:r>
        <w:rPr>
          <w:rFonts w:ascii="宋体" w:hAnsi="宋体" w:hint="eastAsia"/>
          <w:szCs w:val="21"/>
        </w:rPr>
        <w:t>基金财产、</w:t>
      </w:r>
      <w:r>
        <w:rPr>
          <w:rFonts w:ascii="宋体" w:hAnsi="宋体"/>
          <w:szCs w:val="21"/>
        </w:rPr>
        <w:t>基金管理</w:t>
      </w:r>
      <w:r>
        <w:rPr>
          <w:rFonts w:ascii="宋体" w:hAnsi="宋体" w:hint="eastAsia"/>
          <w:szCs w:val="21"/>
        </w:rPr>
        <w:t>业务</w:t>
      </w:r>
      <w:r>
        <w:rPr>
          <w:rFonts w:ascii="宋体" w:hAnsi="宋体"/>
          <w:szCs w:val="21"/>
        </w:rPr>
        <w:t>、基金托管业务的诉讼</w:t>
      </w:r>
      <w:r>
        <w:rPr>
          <w:rFonts w:ascii="宋体" w:hAnsi="宋体" w:hint="eastAsia"/>
          <w:szCs w:val="21"/>
        </w:rPr>
        <w:t>或仲裁</w:t>
      </w:r>
      <w:r>
        <w:rPr>
          <w:rFonts w:ascii="宋体" w:hAnsi="宋体"/>
          <w:szCs w:val="21"/>
        </w:rPr>
        <w:t>；</w:t>
      </w:r>
    </w:p>
    <w:p w14:paraId="248B5774" w14:textId="77777777" w:rsidR="00706097" w:rsidRDefault="00DA6858">
      <w:pPr>
        <w:adjustRightInd w:val="0"/>
        <w:snapToGrid w:val="0"/>
        <w:spacing w:line="360" w:lineRule="auto"/>
        <w:ind w:firstLine="420"/>
        <w:rPr>
          <w:rFonts w:ascii="宋体" w:hAnsi="宋体"/>
          <w:szCs w:val="21"/>
        </w:rPr>
      </w:pPr>
      <w:r>
        <w:rPr>
          <w:rFonts w:ascii="宋体" w:hAnsi="宋体"/>
          <w:szCs w:val="21"/>
        </w:rPr>
        <w:t>12、基金管理人</w:t>
      </w:r>
      <w:r>
        <w:rPr>
          <w:rFonts w:ascii="宋体" w:hAnsi="宋体" w:hint="eastAsia"/>
          <w:szCs w:val="21"/>
        </w:rPr>
        <w:t>或其</w:t>
      </w:r>
      <w:r>
        <w:rPr>
          <w:rFonts w:ascii="宋体" w:hAnsi="宋体"/>
          <w:szCs w:val="21"/>
        </w:rPr>
        <w:t>高级管理人员、基金经理</w:t>
      </w:r>
      <w:r>
        <w:rPr>
          <w:rFonts w:ascii="宋体" w:hAnsi="宋体" w:hint="eastAsia"/>
          <w:szCs w:val="21"/>
        </w:rPr>
        <w:t>因基金管理业务相关行为</w:t>
      </w:r>
      <w:r>
        <w:rPr>
          <w:rFonts w:ascii="宋体" w:hAnsi="宋体"/>
          <w:szCs w:val="21"/>
        </w:rPr>
        <w:t>受到</w:t>
      </w:r>
      <w:r>
        <w:rPr>
          <w:rFonts w:ascii="宋体" w:hAnsi="宋体" w:hint="eastAsia"/>
          <w:szCs w:val="21"/>
        </w:rPr>
        <w:t>重大</w:t>
      </w:r>
      <w:r>
        <w:rPr>
          <w:rFonts w:ascii="宋体" w:hAnsi="宋体"/>
          <w:szCs w:val="21"/>
        </w:rPr>
        <w:t>行政处罚</w:t>
      </w:r>
      <w:r>
        <w:rPr>
          <w:rFonts w:ascii="宋体" w:hAnsi="宋体" w:hint="eastAsia"/>
          <w:szCs w:val="21"/>
        </w:rPr>
        <w:t>、刑事处罚</w:t>
      </w:r>
      <w:r>
        <w:rPr>
          <w:rFonts w:ascii="宋体" w:hAnsi="宋体"/>
          <w:szCs w:val="21"/>
        </w:rPr>
        <w:t>，基金托管人</w:t>
      </w:r>
      <w:r>
        <w:rPr>
          <w:rFonts w:ascii="宋体" w:hAnsi="宋体" w:hint="eastAsia"/>
          <w:szCs w:val="21"/>
        </w:rPr>
        <w:t>或</w:t>
      </w:r>
      <w:r>
        <w:rPr>
          <w:rFonts w:ascii="宋体" w:hAnsi="宋体"/>
          <w:szCs w:val="21"/>
        </w:rPr>
        <w:t>其</w:t>
      </w:r>
      <w:r>
        <w:rPr>
          <w:rFonts w:ascii="宋体" w:hAnsi="宋体" w:hint="eastAsia"/>
          <w:szCs w:val="21"/>
        </w:rPr>
        <w:t>专门</w:t>
      </w:r>
      <w:r>
        <w:rPr>
          <w:rFonts w:ascii="宋体" w:hAnsi="宋体"/>
          <w:szCs w:val="21"/>
        </w:rPr>
        <w:t>基金托管部门负责人</w:t>
      </w:r>
      <w:r>
        <w:rPr>
          <w:rFonts w:ascii="宋体" w:hAnsi="宋体" w:hint="eastAsia"/>
          <w:szCs w:val="21"/>
        </w:rPr>
        <w:t>因基金托管业务相关行为</w:t>
      </w:r>
      <w:r>
        <w:rPr>
          <w:rFonts w:ascii="宋体" w:hAnsi="宋体"/>
          <w:szCs w:val="21"/>
        </w:rPr>
        <w:t>受到</w:t>
      </w:r>
      <w:r>
        <w:rPr>
          <w:rFonts w:ascii="宋体" w:hAnsi="宋体" w:hint="eastAsia"/>
          <w:szCs w:val="21"/>
        </w:rPr>
        <w:t>重大</w:t>
      </w:r>
      <w:r>
        <w:rPr>
          <w:rFonts w:ascii="宋体" w:hAnsi="宋体"/>
          <w:szCs w:val="21"/>
        </w:rPr>
        <w:t>行政处罚</w:t>
      </w:r>
      <w:r>
        <w:rPr>
          <w:rFonts w:ascii="宋体" w:hAnsi="宋体" w:hint="eastAsia"/>
          <w:szCs w:val="21"/>
        </w:rPr>
        <w:t>、刑事处罚</w:t>
      </w:r>
      <w:r>
        <w:rPr>
          <w:rFonts w:ascii="宋体" w:hAnsi="宋体"/>
          <w:szCs w:val="21"/>
        </w:rPr>
        <w:t>；</w:t>
      </w:r>
    </w:p>
    <w:p w14:paraId="10A6CEF7" w14:textId="77777777" w:rsidR="00706097" w:rsidRDefault="00DA6858">
      <w:pPr>
        <w:adjustRightInd w:val="0"/>
        <w:snapToGrid w:val="0"/>
        <w:spacing w:line="360" w:lineRule="auto"/>
        <w:ind w:firstLine="420"/>
        <w:rPr>
          <w:rFonts w:ascii="宋体" w:hAnsi="宋体"/>
          <w:szCs w:val="21"/>
        </w:rPr>
      </w:pPr>
      <w:r>
        <w:rPr>
          <w:rFonts w:ascii="宋体" w:hAnsi="宋体"/>
          <w:szCs w:val="21"/>
        </w:rPr>
        <w:t>13、</w:t>
      </w:r>
      <w:r>
        <w:rPr>
          <w:rFonts w:ascii="宋体" w:hAnsi="宋体" w:hint="eastAsia"/>
          <w:bCs/>
          <w:szCs w:val="21"/>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r>
        <w:rPr>
          <w:rFonts w:ascii="宋体" w:hAnsi="宋体"/>
          <w:szCs w:val="21"/>
        </w:rPr>
        <w:t>；</w:t>
      </w:r>
    </w:p>
    <w:p w14:paraId="6A5E9AB1" w14:textId="77777777" w:rsidR="00706097" w:rsidRDefault="00DA6858">
      <w:pPr>
        <w:adjustRightInd w:val="0"/>
        <w:snapToGrid w:val="0"/>
        <w:spacing w:line="360" w:lineRule="auto"/>
        <w:ind w:firstLine="420"/>
        <w:rPr>
          <w:rFonts w:ascii="宋体" w:hAnsi="宋体"/>
          <w:szCs w:val="21"/>
        </w:rPr>
      </w:pPr>
      <w:r>
        <w:rPr>
          <w:rFonts w:ascii="宋体" w:hAnsi="宋体"/>
          <w:szCs w:val="21"/>
        </w:rPr>
        <w:t>14、基金收益分配事项；</w:t>
      </w:r>
    </w:p>
    <w:p w14:paraId="4A6164A6" w14:textId="77777777" w:rsidR="00706097" w:rsidRDefault="00DA6858">
      <w:pPr>
        <w:adjustRightInd w:val="0"/>
        <w:snapToGrid w:val="0"/>
        <w:spacing w:line="360" w:lineRule="auto"/>
        <w:ind w:firstLine="420"/>
        <w:rPr>
          <w:rFonts w:ascii="宋体" w:hAnsi="宋体"/>
          <w:szCs w:val="21"/>
        </w:rPr>
      </w:pPr>
      <w:r>
        <w:rPr>
          <w:rFonts w:ascii="宋体" w:hAnsi="宋体"/>
          <w:szCs w:val="21"/>
        </w:rPr>
        <w:t>15、管理费、托管费</w:t>
      </w:r>
      <w:r>
        <w:rPr>
          <w:rFonts w:ascii="宋体" w:hAnsi="宋体" w:hint="eastAsia"/>
          <w:szCs w:val="21"/>
        </w:rPr>
        <w:t>、</w:t>
      </w:r>
      <w:r>
        <w:rPr>
          <w:rFonts w:ascii="宋体" w:hAnsi="宋体" w:hint="eastAsia"/>
          <w:bCs/>
          <w:szCs w:val="21"/>
        </w:rPr>
        <w:t>销售服务费、</w:t>
      </w:r>
      <w:r>
        <w:rPr>
          <w:rFonts w:ascii="宋体" w:hAnsi="宋体" w:hint="eastAsia"/>
          <w:szCs w:val="21"/>
        </w:rPr>
        <w:t>申购费、赎回费</w:t>
      </w:r>
      <w:r>
        <w:rPr>
          <w:rFonts w:ascii="宋体" w:hAnsi="宋体"/>
          <w:szCs w:val="21"/>
        </w:rPr>
        <w:t>等费用计提标准、计提方式和费率发生变更；</w:t>
      </w:r>
    </w:p>
    <w:p w14:paraId="155F00CF" w14:textId="77777777" w:rsidR="00706097" w:rsidRDefault="00DA6858">
      <w:pPr>
        <w:adjustRightInd w:val="0"/>
        <w:snapToGrid w:val="0"/>
        <w:spacing w:line="360" w:lineRule="auto"/>
        <w:ind w:firstLine="420"/>
        <w:rPr>
          <w:rFonts w:ascii="宋体" w:hAnsi="宋体"/>
          <w:szCs w:val="21"/>
        </w:rPr>
      </w:pPr>
      <w:r>
        <w:rPr>
          <w:rFonts w:ascii="宋体" w:hAnsi="宋体"/>
          <w:szCs w:val="21"/>
        </w:rPr>
        <w:t>16、基金份额净值计价错误</w:t>
      </w:r>
      <w:proofErr w:type="gramStart"/>
      <w:r>
        <w:rPr>
          <w:rFonts w:ascii="宋体" w:hAnsi="宋体"/>
          <w:szCs w:val="21"/>
        </w:rPr>
        <w:t>达基金</w:t>
      </w:r>
      <w:proofErr w:type="gramEnd"/>
      <w:r>
        <w:rPr>
          <w:rFonts w:ascii="宋体" w:hAnsi="宋体"/>
          <w:szCs w:val="21"/>
        </w:rPr>
        <w:t>份额净值百分之零点五；</w:t>
      </w:r>
    </w:p>
    <w:p w14:paraId="78AECA21" w14:textId="77777777" w:rsidR="00706097" w:rsidRDefault="00DA6858">
      <w:pPr>
        <w:adjustRightInd w:val="0"/>
        <w:snapToGrid w:val="0"/>
        <w:spacing w:line="360" w:lineRule="auto"/>
        <w:ind w:firstLine="420"/>
        <w:rPr>
          <w:rFonts w:ascii="宋体" w:hAnsi="宋体"/>
          <w:szCs w:val="21"/>
        </w:rPr>
      </w:pPr>
      <w:r>
        <w:rPr>
          <w:rFonts w:ascii="宋体" w:hAnsi="宋体"/>
          <w:szCs w:val="21"/>
        </w:rPr>
        <w:t>17、本基金开始办理申购、赎回；</w:t>
      </w:r>
    </w:p>
    <w:p w14:paraId="648D5862" w14:textId="77777777" w:rsidR="00706097" w:rsidRDefault="00DA6858">
      <w:pPr>
        <w:adjustRightInd w:val="0"/>
        <w:snapToGrid w:val="0"/>
        <w:spacing w:line="360" w:lineRule="auto"/>
        <w:ind w:firstLine="420"/>
        <w:rPr>
          <w:rFonts w:ascii="宋体" w:hAnsi="宋体"/>
          <w:szCs w:val="21"/>
        </w:rPr>
      </w:pPr>
      <w:r>
        <w:rPr>
          <w:rFonts w:ascii="宋体" w:hAnsi="宋体"/>
          <w:szCs w:val="21"/>
        </w:rPr>
        <w:t>18、本基金发生巨额赎回并延期</w:t>
      </w:r>
      <w:r>
        <w:rPr>
          <w:rFonts w:ascii="宋体" w:hAnsi="宋体" w:hint="eastAsia"/>
          <w:szCs w:val="21"/>
        </w:rPr>
        <w:t>办理</w:t>
      </w:r>
      <w:r>
        <w:rPr>
          <w:rFonts w:ascii="宋体" w:hAnsi="宋体"/>
          <w:szCs w:val="21"/>
        </w:rPr>
        <w:t>；</w:t>
      </w:r>
    </w:p>
    <w:p w14:paraId="1D84A64F" w14:textId="77777777" w:rsidR="00706097" w:rsidRDefault="00DA6858">
      <w:pPr>
        <w:adjustRightInd w:val="0"/>
        <w:snapToGrid w:val="0"/>
        <w:spacing w:line="360" w:lineRule="auto"/>
        <w:ind w:firstLine="420"/>
        <w:rPr>
          <w:rFonts w:ascii="宋体" w:hAnsi="宋体"/>
          <w:szCs w:val="21"/>
        </w:rPr>
      </w:pPr>
      <w:r>
        <w:rPr>
          <w:rFonts w:ascii="宋体" w:hAnsi="宋体"/>
          <w:szCs w:val="21"/>
        </w:rPr>
        <w:t>19、本基金连续发生巨额赎回并暂停接受赎回申请</w:t>
      </w:r>
      <w:r>
        <w:rPr>
          <w:rFonts w:ascii="宋体" w:hAnsi="宋体" w:hint="eastAsia"/>
          <w:bCs/>
          <w:szCs w:val="21"/>
        </w:rPr>
        <w:t>或延缓支付赎回款项</w:t>
      </w:r>
      <w:r>
        <w:rPr>
          <w:rFonts w:ascii="宋体" w:hAnsi="宋体"/>
          <w:szCs w:val="21"/>
        </w:rPr>
        <w:t>；</w:t>
      </w:r>
    </w:p>
    <w:p w14:paraId="04ECDE19"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20、本基金暂停接受申购、赎回申请或重新接受申购、赎回</w:t>
      </w:r>
      <w:r>
        <w:rPr>
          <w:rFonts w:ascii="宋体" w:hAnsi="宋体" w:hint="eastAsia"/>
          <w:bCs/>
          <w:szCs w:val="21"/>
        </w:rPr>
        <w:t>申请</w:t>
      </w:r>
      <w:r>
        <w:rPr>
          <w:rFonts w:ascii="宋体" w:hAnsi="宋体"/>
          <w:bCs/>
          <w:szCs w:val="21"/>
        </w:rPr>
        <w:t>；</w:t>
      </w:r>
    </w:p>
    <w:p w14:paraId="0E111DCE"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21、发生涉及基金申购、赎回事项调整或潜在影响投资者赎回等重大事项时；</w:t>
      </w:r>
    </w:p>
    <w:p w14:paraId="41B12E92"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22、基金管理人采用摆动定价机制进行估值；</w:t>
      </w:r>
    </w:p>
    <w:p w14:paraId="45545C7F" w14:textId="77777777" w:rsidR="00706097" w:rsidRDefault="00DA6858">
      <w:pPr>
        <w:adjustRightInd w:val="0"/>
        <w:snapToGrid w:val="0"/>
        <w:spacing w:line="360" w:lineRule="auto"/>
        <w:ind w:firstLine="420"/>
        <w:rPr>
          <w:rFonts w:ascii="宋体" w:hAnsi="宋体"/>
          <w:bCs/>
          <w:szCs w:val="21"/>
        </w:rPr>
      </w:pPr>
      <w:r>
        <w:rPr>
          <w:rFonts w:ascii="宋体" w:hAnsi="宋体"/>
          <w:bCs/>
          <w:szCs w:val="21"/>
        </w:rPr>
        <w:t>23</w:t>
      </w:r>
      <w:r>
        <w:rPr>
          <w:rFonts w:ascii="宋体" w:hAnsi="宋体" w:hint="eastAsia"/>
          <w:bCs/>
          <w:szCs w:val="21"/>
        </w:rPr>
        <w:t>、调整基金份额类别设置；</w:t>
      </w:r>
    </w:p>
    <w:p w14:paraId="506D5C96"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2</w:t>
      </w:r>
      <w:r>
        <w:rPr>
          <w:rFonts w:ascii="宋体" w:hAnsi="宋体"/>
          <w:bCs/>
          <w:szCs w:val="21"/>
        </w:rPr>
        <w:t>4</w:t>
      </w:r>
      <w:r>
        <w:rPr>
          <w:rFonts w:ascii="宋体" w:hAnsi="宋体" w:hint="eastAsia"/>
          <w:bCs/>
          <w:szCs w:val="21"/>
        </w:rPr>
        <w:t>、基金推出新业务或服务；</w:t>
      </w:r>
    </w:p>
    <w:p w14:paraId="0E85C847"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2</w:t>
      </w:r>
      <w:r>
        <w:rPr>
          <w:rFonts w:ascii="宋体" w:hAnsi="宋体"/>
          <w:bCs/>
          <w:szCs w:val="21"/>
        </w:rPr>
        <w:t>5</w:t>
      </w:r>
      <w:r>
        <w:rPr>
          <w:rFonts w:ascii="宋体" w:hAnsi="宋体" w:hint="eastAsia"/>
          <w:bCs/>
          <w:szCs w:val="21"/>
        </w:rPr>
        <w:t>、基金信息披露义务人认为可能对基金份额持有人权益或者基金份额的价格产生重大影响的其他事项或中国证监会规定的其他事项。</w:t>
      </w:r>
    </w:p>
    <w:p w14:paraId="3D6100D8" w14:textId="77777777" w:rsidR="00706097" w:rsidRDefault="00DA6858">
      <w:pPr>
        <w:adjustRightInd w:val="0"/>
        <w:snapToGrid w:val="0"/>
        <w:spacing w:line="360" w:lineRule="auto"/>
        <w:ind w:firstLine="420"/>
        <w:rPr>
          <w:rFonts w:ascii="宋体" w:hAnsi="宋体"/>
          <w:szCs w:val="21"/>
        </w:rPr>
      </w:pPr>
      <w:r>
        <w:rPr>
          <w:rFonts w:ascii="宋体" w:hAnsi="宋体"/>
          <w:szCs w:val="21"/>
        </w:rPr>
        <w:t>（八）澄清公告</w:t>
      </w:r>
    </w:p>
    <w:p w14:paraId="4D6A2906" w14:textId="77777777" w:rsidR="00706097" w:rsidRDefault="00DA6858">
      <w:pPr>
        <w:adjustRightInd w:val="0"/>
        <w:snapToGrid w:val="0"/>
        <w:spacing w:line="360" w:lineRule="auto"/>
        <w:ind w:firstLine="420"/>
        <w:rPr>
          <w:rFonts w:ascii="宋体" w:hAnsi="宋体"/>
          <w:szCs w:val="21"/>
        </w:rPr>
      </w:pPr>
      <w:r>
        <w:rPr>
          <w:rFonts w:ascii="宋体" w:hAnsi="宋体"/>
          <w:szCs w:val="21"/>
        </w:rPr>
        <w:t>在基金合同存续期限内，任何公共媒介中出现的或者在市场上流传的消息可能对基金份额价格产生误导性影响或者引起较大波动，</w:t>
      </w:r>
      <w:r>
        <w:rPr>
          <w:rFonts w:ascii="宋体" w:hAnsi="宋体" w:hint="eastAsia"/>
          <w:szCs w:val="21"/>
        </w:rPr>
        <w:t>以及可能损害基金份额持有人权益的，</w:t>
      </w:r>
      <w:r>
        <w:rPr>
          <w:rFonts w:ascii="宋体" w:hAnsi="宋体"/>
          <w:szCs w:val="21"/>
        </w:rPr>
        <w:t>相关信息披露义务人知悉后应当立即对该消息进行公开澄清，并将有关情况立即报告中国证监会。</w:t>
      </w:r>
    </w:p>
    <w:p w14:paraId="7CB49AC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（九）清算报告</w:t>
      </w:r>
    </w:p>
    <w:p w14:paraId="37A1B435"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基金合同终止的，基金管理人应当依法组织基金财产清算小组对基金财产进行清算并</w:t>
      </w:r>
      <w:proofErr w:type="gramStart"/>
      <w:r>
        <w:rPr>
          <w:rFonts w:ascii="宋体" w:hAnsi="宋体" w:hint="eastAsia"/>
          <w:szCs w:val="21"/>
        </w:rPr>
        <w:t>作出</w:t>
      </w:r>
      <w:proofErr w:type="gramEnd"/>
      <w:r>
        <w:rPr>
          <w:rFonts w:ascii="宋体" w:hAnsi="宋体" w:hint="eastAsia"/>
          <w:szCs w:val="21"/>
        </w:rPr>
        <w:t>清算报告。基金财产清算小组应当将清算报告登载在指定网站上，并将清算报告提示性公告登载在指定报刊上。</w:t>
      </w:r>
    </w:p>
    <w:p w14:paraId="518B23DA" w14:textId="77777777" w:rsidR="00706097" w:rsidRDefault="00DA6858">
      <w:pPr>
        <w:adjustRightInd w:val="0"/>
        <w:snapToGrid w:val="0"/>
        <w:spacing w:line="360" w:lineRule="auto"/>
        <w:ind w:firstLine="420"/>
        <w:rPr>
          <w:rFonts w:ascii="宋体" w:hAnsi="宋体"/>
          <w:szCs w:val="21"/>
        </w:rPr>
      </w:pPr>
      <w:r>
        <w:rPr>
          <w:rFonts w:ascii="宋体" w:hAnsi="宋体"/>
          <w:szCs w:val="21"/>
        </w:rPr>
        <w:t>（</w:t>
      </w:r>
      <w:r>
        <w:rPr>
          <w:rFonts w:ascii="宋体" w:hAnsi="宋体" w:hint="eastAsia"/>
          <w:szCs w:val="21"/>
        </w:rPr>
        <w:t>十</w:t>
      </w:r>
      <w:r>
        <w:rPr>
          <w:rFonts w:ascii="宋体" w:hAnsi="宋体"/>
          <w:szCs w:val="21"/>
        </w:rPr>
        <w:t>）基金份额持有人大会决议</w:t>
      </w:r>
    </w:p>
    <w:p w14:paraId="61EB50CA"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基金份额持有人大会决定的事项，应当依法报</w:t>
      </w:r>
      <w:r>
        <w:rPr>
          <w:rFonts w:ascii="宋体" w:hAnsi="宋体" w:hint="eastAsia"/>
          <w:szCs w:val="21"/>
        </w:rPr>
        <w:t>中国证监会</w:t>
      </w:r>
      <w:r>
        <w:rPr>
          <w:rFonts w:ascii="宋体" w:hAnsi="宋体"/>
          <w:szCs w:val="21"/>
        </w:rPr>
        <w:t>备案，并予以公告。</w:t>
      </w:r>
    </w:p>
    <w:p w14:paraId="1B87331F"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（十一）投资资产支持证券的信息披露</w:t>
      </w:r>
    </w:p>
    <w:p w14:paraId="2CC0E8A8"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本基金投资资产支持证券的，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宋体" w:hAnsi="宋体"/>
          <w:bCs/>
          <w:szCs w:val="21"/>
        </w:rPr>
        <w:t>10名资产支持证券明细。</w:t>
      </w:r>
    </w:p>
    <w:p w14:paraId="7FAA37F0"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（十二）实施</w:t>
      </w:r>
      <w:proofErr w:type="gramStart"/>
      <w:r>
        <w:rPr>
          <w:rFonts w:ascii="宋体" w:hAnsi="宋体" w:hint="eastAsia"/>
          <w:bCs/>
          <w:szCs w:val="21"/>
        </w:rPr>
        <w:t>侧袋机制</w:t>
      </w:r>
      <w:proofErr w:type="gramEnd"/>
      <w:r>
        <w:rPr>
          <w:rFonts w:ascii="宋体" w:hAnsi="宋体" w:hint="eastAsia"/>
          <w:bCs/>
          <w:szCs w:val="21"/>
        </w:rPr>
        <w:t>期间的信息披露</w:t>
      </w:r>
    </w:p>
    <w:p w14:paraId="4030FA42"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本基金实施</w:t>
      </w:r>
      <w:proofErr w:type="gramStart"/>
      <w:r>
        <w:rPr>
          <w:rFonts w:ascii="宋体" w:hAnsi="宋体" w:hint="eastAsia"/>
          <w:bCs/>
          <w:szCs w:val="21"/>
        </w:rPr>
        <w:t>侧袋机制</w:t>
      </w:r>
      <w:proofErr w:type="gramEnd"/>
      <w:r>
        <w:rPr>
          <w:rFonts w:ascii="宋体" w:hAnsi="宋体" w:hint="eastAsia"/>
          <w:bCs/>
          <w:szCs w:val="21"/>
        </w:rPr>
        <w:t>的，相关信息披露义务人应当根据法律法规、基金合同和招募说明书的规定进行信息披露，详见本招募说明书“侧袋机制”章节的规定。</w:t>
      </w:r>
    </w:p>
    <w:p w14:paraId="31FD8A6C"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（十三）中国证监会规定的其他信息</w:t>
      </w:r>
    </w:p>
    <w:p w14:paraId="66B41FE8" w14:textId="77777777" w:rsidR="00706097" w:rsidRDefault="00706097">
      <w:pPr>
        <w:adjustRightInd w:val="0"/>
        <w:snapToGrid w:val="0"/>
        <w:spacing w:line="360" w:lineRule="auto"/>
        <w:ind w:firstLine="420"/>
        <w:rPr>
          <w:rFonts w:ascii="宋体" w:hAnsi="宋体"/>
          <w:bCs/>
          <w:szCs w:val="21"/>
        </w:rPr>
      </w:pPr>
    </w:p>
    <w:p w14:paraId="2738FCD8"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六、信息披露事务管理</w:t>
      </w:r>
    </w:p>
    <w:p w14:paraId="5048C415"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基金管理人、基金托管人应当建立健全信息披露管理制度，指定</w:t>
      </w:r>
      <w:r>
        <w:rPr>
          <w:rFonts w:ascii="宋体" w:hAnsi="宋体" w:hint="eastAsia"/>
          <w:szCs w:val="21"/>
        </w:rPr>
        <w:t>专门部门及高级管理人员</w:t>
      </w:r>
      <w:r>
        <w:rPr>
          <w:rFonts w:ascii="宋体" w:hAnsi="宋体"/>
          <w:szCs w:val="21"/>
        </w:rPr>
        <w:t>负责管理信息披露事务。</w:t>
      </w:r>
    </w:p>
    <w:p w14:paraId="12973CC3"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基金信息披露义务人公开披露基金信息，应当符合中国证监会相关基金信息披露内容与格式准则</w:t>
      </w:r>
      <w:r>
        <w:rPr>
          <w:rFonts w:ascii="宋体" w:hAnsi="宋体" w:hint="eastAsia"/>
          <w:szCs w:val="21"/>
        </w:rPr>
        <w:t>等法规</w:t>
      </w:r>
      <w:r>
        <w:rPr>
          <w:rFonts w:ascii="宋体" w:hAnsi="宋体"/>
          <w:szCs w:val="21"/>
        </w:rPr>
        <w:t>的规定。</w:t>
      </w:r>
    </w:p>
    <w:p w14:paraId="4F02C43B"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托管人应当按照相关法律法规、中国证监会的规定和《基金合同》的约定，对基金管理人编制的基金资产净值、各类基金份额的基金份额净值、基金份额申购赎回价格、基金定期报告、更新的招募说明书、基金产品资料概要、基金清算报告等相关基金信息进行复核、审查，并向基金管理人进行书面或</w:t>
      </w:r>
      <w:r>
        <w:rPr>
          <w:rFonts w:ascii="宋体" w:hAnsi="宋体"/>
          <w:bCs/>
          <w:szCs w:val="21"/>
        </w:rPr>
        <w:t>电子确认。</w:t>
      </w:r>
    </w:p>
    <w:p w14:paraId="382ED889" w14:textId="77777777" w:rsidR="00706097" w:rsidRDefault="00DA6858">
      <w:pPr>
        <w:adjustRightInd w:val="0"/>
        <w:snapToGrid w:val="0"/>
        <w:spacing w:line="360" w:lineRule="auto"/>
        <w:ind w:firstLine="420"/>
        <w:rPr>
          <w:rFonts w:ascii="宋体" w:hAnsi="宋体"/>
          <w:bCs/>
          <w:szCs w:val="21"/>
        </w:rPr>
      </w:pPr>
      <w:r>
        <w:rPr>
          <w:rFonts w:ascii="宋体" w:hAnsi="宋体" w:hint="eastAsia"/>
          <w:bCs/>
          <w:szCs w:val="21"/>
        </w:rPr>
        <w:t>基金管理人、基金托管人应当在指定报刊中选择披露信息的报刊。基金管理人、基金托管人应当向中国证监会基金电子披露网站报送拟披露的基金信息，并保证相关报送信息的真实、准确、完整、及时。</w:t>
      </w:r>
    </w:p>
    <w:p w14:paraId="7835D615" w14:textId="77777777" w:rsidR="00706097" w:rsidRDefault="00DA6858">
      <w:pPr>
        <w:adjustRightInd w:val="0"/>
        <w:snapToGrid w:val="0"/>
        <w:spacing w:line="360" w:lineRule="auto"/>
        <w:ind w:firstLine="420"/>
        <w:rPr>
          <w:rFonts w:ascii="宋体" w:hAnsi="宋体"/>
          <w:szCs w:val="21"/>
        </w:rPr>
      </w:pPr>
      <w:r>
        <w:rPr>
          <w:rFonts w:ascii="宋体" w:hAnsi="宋体"/>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4462ED6C" w14:textId="77777777" w:rsidR="00706097" w:rsidRDefault="00DA6858">
      <w:pPr>
        <w:adjustRightInd w:val="0"/>
        <w:snapToGrid w:val="0"/>
        <w:spacing w:line="360" w:lineRule="auto"/>
        <w:ind w:firstLine="420"/>
        <w:rPr>
          <w:rFonts w:ascii="宋体" w:hAnsi="宋体"/>
          <w:szCs w:val="21"/>
        </w:rPr>
      </w:pPr>
      <w:r>
        <w:rPr>
          <w:rFonts w:ascii="宋体" w:hAnsi="宋体" w:hint="eastAsia"/>
          <w:bCs/>
          <w:szCs w:val="21"/>
        </w:rPr>
        <w:t>基金管理人、基金托管人除按法律法规要求披露信息外、也可着眼于为投资者决策提供有用信息的角度，在保证公平对待投资者、</w:t>
      </w:r>
      <w:proofErr w:type="gramStart"/>
      <w:r>
        <w:rPr>
          <w:rFonts w:ascii="宋体" w:hAnsi="宋体" w:hint="eastAsia"/>
          <w:bCs/>
          <w:szCs w:val="21"/>
        </w:rPr>
        <w:t>不</w:t>
      </w:r>
      <w:proofErr w:type="gramEnd"/>
      <w:r>
        <w:rPr>
          <w:rFonts w:ascii="宋体" w:hAnsi="宋体" w:hint="eastAsia"/>
          <w:bCs/>
          <w:szCs w:val="21"/>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223B2393" w14:textId="77777777" w:rsidR="00706097" w:rsidRDefault="00DA6858">
      <w:pPr>
        <w:adjustRightInd w:val="0"/>
        <w:snapToGrid w:val="0"/>
        <w:spacing w:line="360" w:lineRule="auto"/>
        <w:ind w:firstLine="420"/>
        <w:rPr>
          <w:rFonts w:ascii="宋体" w:hAnsi="宋体"/>
          <w:szCs w:val="21"/>
        </w:rPr>
      </w:pPr>
      <w:r>
        <w:rPr>
          <w:rFonts w:ascii="宋体" w:hAnsi="宋体"/>
          <w:szCs w:val="21"/>
        </w:rPr>
        <w:t>为基金信息披露义务人公开披露的基金信息出具审计报告、法律意见书的专业机构，应当制作工作底稿，并将相关档案至少保存到《基金合同》终止后</w:t>
      </w:r>
      <w:r>
        <w:rPr>
          <w:rFonts w:ascii="宋体" w:hAnsi="宋体" w:hint="eastAsia"/>
          <w:szCs w:val="21"/>
        </w:rPr>
        <w:t>10</w:t>
      </w:r>
      <w:r>
        <w:rPr>
          <w:rFonts w:ascii="宋体" w:hAnsi="宋体"/>
          <w:szCs w:val="21"/>
        </w:rPr>
        <w:t>年。</w:t>
      </w:r>
    </w:p>
    <w:p w14:paraId="51D081FD" w14:textId="77777777" w:rsidR="00706097" w:rsidRDefault="00706097">
      <w:pPr>
        <w:adjustRightInd w:val="0"/>
        <w:snapToGrid w:val="0"/>
        <w:spacing w:line="360" w:lineRule="auto"/>
        <w:ind w:firstLine="420"/>
        <w:rPr>
          <w:rFonts w:ascii="宋体" w:hAnsi="宋体"/>
          <w:bCs/>
          <w:szCs w:val="21"/>
        </w:rPr>
      </w:pPr>
    </w:p>
    <w:p w14:paraId="47179A9B"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lastRenderedPageBreak/>
        <w:t>七、信息披露文件的存放与查阅</w:t>
      </w:r>
    </w:p>
    <w:p w14:paraId="6F930206" w14:textId="77777777" w:rsidR="00706097" w:rsidRDefault="00DA6858">
      <w:pPr>
        <w:adjustRightInd w:val="0"/>
        <w:snapToGrid w:val="0"/>
        <w:spacing w:line="360" w:lineRule="auto"/>
        <w:ind w:firstLineChars="200" w:firstLine="420"/>
        <w:rPr>
          <w:rFonts w:ascii="宋体" w:hAnsi="宋体"/>
          <w:szCs w:val="21"/>
        </w:rPr>
      </w:pPr>
      <w:r>
        <w:rPr>
          <w:rFonts w:ascii="宋体" w:hAnsi="宋体" w:hint="eastAsia"/>
          <w:szCs w:val="21"/>
        </w:rPr>
        <w:t>依法必须披露的信息发布后，基金管理人、基金托管人应当按照相关法律法规规定将信息置备于各自住所，供社会公众查阅、复制。</w:t>
      </w:r>
    </w:p>
    <w:p w14:paraId="75C19896" w14:textId="77777777" w:rsidR="00706097" w:rsidRDefault="00706097">
      <w:pPr>
        <w:adjustRightInd w:val="0"/>
        <w:snapToGrid w:val="0"/>
        <w:spacing w:line="360" w:lineRule="auto"/>
        <w:ind w:firstLineChars="200" w:firstLine="420"/>
        <w:rPr>
          <w:rFonts w:ascii="宋体" w:hAnsi="宋体"/>
          <w:szCs w:val="21"/>
        </w:rPr>
      </w:pPr>
    </w:p>
    <w:p w14:paraId="1F07AECD" w14:textId="77777777" w:rsidR="00706097" w:rsidRDefault="00DA6858">
      <w:pPr>
        <w:pStyle w:val="36"/>
        <w:snapToGrid w:val="0"/>
        <w:rPr>
          <w:rFonts w:hAnsi="宋体" w:hint="default"/>
          <w:szCs w:val="24"/>
        </w:rPr>
      </w:pPr>
      <w:r>
        <w:rPr>
          <w:rFonts w:hAnsi="宋体"/>
          <w:kern w:val="0"/>
        </w:rPr>
        <w:br w:type="page"/>
      </w:r>
    </w:p>
    <w:p w14:paraId="04C9AF24" w14:textId="77777777" w:rsidR="00706097" w:rsidRDefault="00DA6858">
      <w:pPr>
        <w:pStyle w:val="21"/>
        <w:numPr>
          <w:ilvl w:val="0"/>
          <w:numId w:val="28"/>
        </w:numPr>
        <w:snapToGrid w:val="0"/>
        <w:spacing w:before="0" w:after="0" w:line="360" w:lineRule="auto"/>
        <w:jc w:val="left"/>
        <w:rPr>
          <w:rFonts w:ascii="宋体" w:eastAsia="宋体" w:hAnsi="宋体"/>
        </w:rPr>
      </w:pPr>
      <w:bookmarkStart w:id="294" w:name="_Toc76483029"/>
      <w:bookmarkStart w:id="295" w:name="_Toc360793508"/>
      <w:bookmarkStart w:id="296" w:name="_Toc360794418"/>
      <w:bookmarkStart w:id="297" w:name="_Toc360793860"/>
      <w:bookmarkStart w:id="298" w:name="_Toc360794110"/>
      <w:bookmarkStart w:id="299" w:name="_Toc362533465"/>
      <w:bookmarkStart w:id="300" w:name="_Toc362455193"/>
      <w:bookmarkStart w:id="301" w:name="_Toc360794526"/>
      <w:proofErr w:type="gramStart"/>
      <w:r>
        <w:rPr>
          <w:rFonts w:ascii="宋体" w:eastAsia="宋体" w:hAnsi="宋体" w:hint="eastAsia"/>
        </w:rPr>
        <w:lastRenderedPageBreak/>
        <w:t>侧袋机制</w:t>
      </w:r>
      <w:bookmarkEnd w:id="294"/>
      <w:proofErr w:type="gramEnd"/>
    </w:p>
    <w:p w14:paraId="4850A230" w14:textId="77777777" w:rsidR="00706097" w:rsidRDefault="00706097">
      <w:pPr>
        <w:snapToGrid w:val="0"/>
        <w:spacing w:line="360" w:lineRule="auto"/>
        <w:ind w:firstLine="420"/>
        <w:rPr>
          <w:rFonts w:ascii="宋体" w:hAnsi="宋体"/>
          <w:b/>
          <w:bCs/>
          <w:szCs w:val="21"/>
        </w:rPr>
      </w:pPr>
    </w:p>
    <w:p w14:paraId="586AE86C" w14:textId="77777777" w:rsidR="00706097" w:rsidRDefault="00DA6858">
      <w:pPr>
        <w:snapToGrid w:val="0"/>
        <w:spacing w:line="360" w:lineRule="auto"/>
        <w:ind w:firstLine="420"/>
        <w:rPr>
          <w:rFonts w:ascii="宋体" w:hAnsi="宋体"/>
          <w:b/>
          <w:bCs/>
          <w:szCs w:val="21"/>
        </w:rPr>
      </w:pPr>
      <w:r>
        <w:rPr>
          <w:rFonts w:ascii="宋体" w:hAnsi="宋体" w:hint="eastAsia"/>
          <w:b/>
          <w:bCs/>
          <w:szCs w:val="21"/>
        </w:rPr>
        <w:t>一、</w:t>
      </w:r>
      <w:proofErr w:type="gramStart"/>
      <w:r>
        <w:rPr>
          <w:rFonts w:ascii="宋体" w:hAnsi="宋体" w:hint="eastAsia"/>
          <w:b/>
          <w:bCs/>
          <w:szCs w:val="21"/>
        </w:rPr>
        <w:t>侧袋机制</w:t>
      </w:r>
      <w:proofErr w:type="gramEnd"/>
      <w:r>
        <w:rPr>
          <w:rFonts w:ascii="宋体" w:hAnsi="宋体" w:hint="eastAsia"/>
          <w:b/>
          <w:bCs/>
          <w:szCs w:val="21"/>
        </w:rPr>
        <w:t>的实施条件、实施程序</w:t>
      </w:r>
    </w:p>
    <w:p w14:paraId="18636109"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宋体" w:hAnsi="宋体" w:hint="eastAsia"/>
          <w:szCs w:val="21"/>
        </w:rPr>
        <w:t>启用侧袋机制</w:t>
      </w:r>
      <w:proofErr w:type="gramEnd"/>
      <w:r>
        <w:rPr>
          <w:rFonts w:ascii="宋体" w:hAnsi="宋体" w:hint="eastAsia"/>
          <w:szCs w:val="21"/>
        </w:rPr>
        <w:t>。</w:t>
      </w:r>
    </w:p>
    <w:p w14:paraId="378E5C07" w14:textId="77777777" w:rsidR="00706097" w:rsidRDefault="00706097">
      <w:pPr>
        <w:adjustRightInd w:val="0"/>
        <w:snapToGrid w:val="0"/>
        <w:spacing w:line="360" w:lineRule="auto"/>
        <w:ind w:firstLine="420"/>
        <w:rPr>
          <w:rFonts w:ascii="宋体" w:hAnsi="宋体"/>
          <w:szCs w:val="21"/>
        </w:rPr>
      </w:pPr>
    </w:p>
    <w:p w14:paraId="6B6D568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基金管理人应当在启用</w:t>
      </w:r>
      <w:proofErr w:type="gramStart"/>
      <w:r>
        <w:rPr>
          <w:rFonts w:ascii="宋体" w:hAnsi="宋体" w:hint="eastAsia"/>
          <w:szCs w:val="21"/>
        </w:rPr>
        <w:t>侧袋机制</w:t>
      </w:r>
      <w:proofErr w:type="gramEnd"/>
      <w:r>
        <w:rPr>
          <w:rFonts w:ascii="宋体" w:hAnsi="宋体" w:hint="eastAsia"/>
          <w:szCs w:val="21"/>
        </w:rPr>
        <w:t>后及时发布临时公告，并在五个工作日内聘请符合《中华人民共和国证券法》规定的会计师事务所进行审计并披露专项审计意见。</w:t>
      </w:r>
    </w:p>
    <w:p w14:paraId="5C9C6429" w14:textId="77777777" w:rsidR="00706097" w:rsidRDefault="00DA6858">
      <w:pPr>
        <w:snapToGrid w:val="0"/>
        <w:spacing w:line="360" w:lineRule="auto"/>
        <w:ind w:firstLine="420"/>
        <w:rPr>
          <w:rFonts w:ascii="宋体" w:hAnsi="宋体"/>
          <w:b/>
          <w:bCs/>
          <w:szCs w:val="21"/>
        </w:rPr>
      </w:pPr>
      <w:r>
        <w:rPr>
          <w:rFonts w:ascii="宋体" w:hAnsi="宋体" w:hint="eastAsia"/>
          <w:b/>
          <w:bCs/>
          <w:szCs w:val="21"/>
        </w:rPr>
        <w:t>二、</w:t>
      </w:r>
      <w:proofErr w:type="gramStart"/>
      <w:r>
        <w:rPr>
          <w:rFonts w:ascii="宋体" w:hAnsi="宋体" w:hint="eastAsia"/>
          <w:b/>
          <w:bCs/>
          <w:szCs w:val="21"/>
        </w:rPr>
        <w:t>侧袋机制</w:t>
      </w:r>
      <w:proofErr w:type="gramEnd"/>
      <w:r>
        <w:rPr>
          <w:rFonts w:ascii="宋体" w:hAnsi="宋体" w:hint="eastAsia"/>
          <w:b/>
          <w:bCs/>
          <w:szCs w:val="21"/>
        </w:rPr>
        <w:t>实施期间的基金运作安排</w:t>
      </w:r>
    </w:p>
    <w:p w14:paraId="76BB55E1"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（一）基金份额的申购与赎回</w:t>
      </w:r>
    </w:p>
    <w:p w14:paraId="0BDA828A"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1、启用</w:t>
      </w:r>
      <w:proofErr w:type="gramStart"/>
      <w:r>
        <w:rPr>
          <w:rFonts w:ascii="宋体" w:hAnsi="宋体" w:hint="eastAsia"/>
          <w:szCs w:val="21"/>
        </w:rPr>
        <w:t>侧袋机制</w:t>
      </w:r>
      <w:proofErr w:type="gramEnd"/>
      <w:r>
        <w:rPr>
          <w:rFonts w:ascii="宋体" w:hAnsi="宋体" w:hint="eastAsia"/>
          <w:szCs w:val="21"/>
        </w:rPr>
        <w:t>当日，基金登记机构以基金份额持有人的原有账户份额为基础，确认</w:t>
      </w:r>
      <w:proofErr w:type="gramStart"/>
      <w:r>
        <w:rPr>
          <w:rFonts w:ascii="宋体" w:hAnsi="宋体" w:hint="eastAsia"/>
          <w:szCs w:val="21"/>
        </w:rPr>
        <w:t>相应侧袋账户</w:t>
      </w:r>
      <w:proofErr w:type="gramEnd"/>
      <w:r>
        <w:rPr>
          <w:rFonts w:ascii="宋体" w:hAnsi="宋体" w:hint="eastAsia"/>
          <w:szCs w:val="21"/>
        </w:rPr>
        <w:t>基金份额持有人名册和份额；当日收到的申购申请，按照启用</w:t>
      </w:r>
      <w:proofErr w:type="gramStart"/>
      <w:r>
        <w:rPr>
          <w:rFonts w:ascii="宋体" w:hAnsi="宋体" w:hint="eastAsia"/>
          <w:szCs w:val="21"/>
        </w:rPr>
        <w:t>侧袋机制</w:t>
      </w:r>
      <w:proofErr w:type="gramEnd"/>
      <w:r>
        <w:rPr>
          <w:rFonts w:ascii="宋体" w:hAnsi="宋体" w:hint="eastAsia"/>
          <w:szCs w:val="21"/>
        </w:rPr>
        <w:t>后</w:t>
      </w:r>
      <w:proofErr w:type="gramStart"/>
      <w:r>
        <w:rPr>
          <w:rFonts w:ascii="宋体" w:hAnsi="宋体" w:hint="eastAsia"/>
          <w:szCs w:val="21"/>
        </w:rPr>
        <w:t>的主袋账户</w:t>
      </w:r>
      <w:proofErr w:type="gramEnd"/>
      <w:r>
        <w:rPr>
          <w:rFonts w:ascii="宋体" w:hAnsi="宋体" w:hint="eastAsia"/>
          <w:szCs w:val="21"/>
        </w:rPr>
        <w:t>份额办理；当日收到的赎回申请，仅</w:t>
      </w:r>
      <w:proofErr w:type="gramStart"/>
      <w:r>
        <w:rPr>
          <w:rFonts w:ascii="宋体" w:hAnsi="宋体" w:hint="eastAsia"/>
          <w:szCs w:val="21"/>
        </w:rPr>
        <w:t>办理主袋账户</w:t>
      </w:r>
      <w:proofErr w:type="gramEnd"/>
      <w:r>
        <w:rPr>
          <w:rFonts w:ascii="宋体" w:hAnsi="宋体" w:hint="eastAsia"/>
          <w:szCs w:val="21"/>
        </w:rPr>
        <w:t>的赎回申请并支付赎回款项。</w:t>
      </w:r>
    </w:p>
    <w:p w14:paraId="58CEADE4"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2、实施</w:t>
      </w:r>
      <w:proofErr w:type="gramStart"/>
      <w:r>
        <w:rPr>
          <w:rFonts w:ascii="宋体" w:hAnsi="宋体" w:hint="eastAsia"/>
          <w:szCs w:val="21"/>
        </w:rPr>
        <w:t>侧袋机制</w:t>
      </w:r>
      <w:proofErr w:type="gramEnd"/>
      <w:r>
        <w:rPr>
          <w:rFonts w:ascii="宋体" w:hAnsi="宋体" w:hint="eastAsia"/>
          <w:szCs w:val="21"/>
        </w:rPr>
        <w:t>期间，基金管理人不</w:t>
      </w:r>
      <w:proofErr w:type="gramStart"/>
      <w:r>
        <w:rPr>
          <w:rFonts w:ascii="宋体" w:hAnsi="宋体" w:hint="eastAsia"/>
          <w:szCs w:val="21"/>
        </w:rPr>
        <w:t>办理侧袋账户</w:t>
      </w:r>
      <w:proofErr w:type="gramEnd"/>
      <w:r>
        <w:rPr>
          <w:rFonts w:ascii="宋体" w:hAnsi="宋体" w:hint="eastAsia"/>
          <w:szCs w:val="21"/>
        </w:rPr>
        <w:t>份额的申购、赎回和转换；同时，基金管理人按照基金合同和招募说明书的约定</w:t>
      </w:r>
      <w:proofErr w:type="gramStart"/>
      <w:r>
        <w:rPr>
          <w:rFonts w:ascii="宋体" w:hAnsi="宋体" w:hint="eastAsia"/>
          <w:szCs w:val="21"/>
        </w:rPr>
        <w:t>办理主袋账户</w:t>
      </w:r>
      <w:proofErr w:type="gramEnd"/>
      <w:r>
        <w:rPr>
          <w:rFonts w:ascii="宋体" w:hAnsi="宋体" w:hint="eastAsia"/>
          <w:szCs w:val="21"/>
        </w:rPr>
        <w:t>份额的赎回，并</w:t>
      </w:r>
      <w:proofErr w:type="gramStart"/>
      <w:r>
        <w:rPr>
          <w:rFonts w:ascii="宋体" w:hAnsi="宋体" w:hint="eastAsia"/>
          <w:szCs w:val="21"/>
        </w:rPr>
        <w:t>根据主袋账户</w:t>
      </w:r>
      <w:proofErr w:type="gramEnd"/>
      <w:r>
        <w:rPr>
          <w:rFonts w:ascii="宋体" w:hAnsi="宋体" w:hint="eastAsia"/>
          <w:szCs w:val="21"/>
        </w:rPr>
        <w:t>运作情况确定是否暂停申购。</w:t>
      </w:r>
    </w:p>
    <w:p w14:paraId="0BF1E1CB"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3、除基金管理人应</w:t>
      </w:r>
      <w:proofErr w:type="gramStart"/>
      <w:r>
        <w:rPr>
          <w:rFonts w:ascii="宋体" w:hAnsi="宋体" w:hint="eastAsia"/>
          <w:szCs w:val="21"/>
        </w:rPr>
        <w:t>按照主袋账户</w:t>
      </w:r>
      <w:proofErr w:type="gramEnd"/>
      <w:r>
        <w:rPr>
          <w:rFonts w:ascii="宋体" w:hAnsi="宋体" w:hint="eastAsia"/>
          <w:szCs w:val="21"/>
        </w:rPr>
        <w:t>的份额净值</w:t>
      </w:r>
      <w:proofErr w:type="gramStart"/>
      <w:r>
        <w:rPr>
          <w:rFonts w:ascii="宋体" w:hAnsi="宋体" w:hint="eastAsia"/>
          <w:szCs w:val="21"/>
        </w:rPr>
        <w:t>办理主袋账户</w:t>
      </w:r>
      <w:proofErr w:type="gramEnd"/>
      <w:r>
        <w:rPr>
          <w:rFonts w:ascii="宋体" w:hAnsi="宋体" w:hint="eastAsia"/>
          <w:szCs w:val="21"/>
        </w:rPr>
        <w:t>份额的申购和赎回外，本招募说明书“基金份额的申购与赎回”部分的申购、赎回规定</w:t>
      </w:r>
      <w:proofErr w:type="gramStart"/>
      <w:r>
        <w:rPr>
          <w:rFonts w:ascii="宋体" w:hAnsi="宋体" w:hint="eastAsia"/>
          <w:szCs w:val="21"/>
        </w:rPr>
        <w:t>适用于主袋账户</w:t>
      </w:r>
      <w:proofErr w:type="gramEnd"/>
      <w:r>
        <w:rPr>
          <w:rFonts w:ascii="宋体" w:hAnsi="宋体" w:hint="eastAsia"/>
          <w:szCs w:val="21"/>
        </w:rPr>
        <w:t>份额。巨额赎回按照单个开放</w:t>
      </w:r>
      <w:proofErr w:type="gramStart"/>
      <w:r>
        <w:rPr>
          <w:rFonts w:ascii="宋体" w:hAnsi="宋体" w:hint="eastAsia"/>
          <w:szCs w:val="21"/>
        </w:rPr>
        <w:t>日内主袋账户</w:t>
      </w:r>
      <w:proofErr w:type="gramEnd"/>
      <w:r>
        <w:rPr>
          <w:rFonts w:ascii="宋体" w:hAnsi="宋体" w:hint="eastAsia"/>
          <w:szCs w:val="21"/>
        </w:rPr>
        <w:t>份额净赎回申请超过前一开放</w:t>
      </w:r>
      <w:proofErr w:type="gramStart"/>
      <w:r>
        <w:rPr>
          <w:rFonts w:ascii="宋体" w:hAnsi="宋体" w:hint="eastAsia"/>
          <w:szCs w:val="21"/>
        </w:rPr>
        <w:t>日主袋账户</w:t>
      </w:r>
      <w:proofErr w:type="gramEnd"/>
      <w:r>
        <w:rPr>
          <w:rFonts w:ascii="宋体" w:hAnsi="宋体" w:hint="eastAsia"/>
          <w:szCs w:val="21"/>
        </w:rPr>
        <w:t>总份额的 10%认定。</w:t>
      </w:r>
    </w:p>
    <w:p w14:paraId="596FD3AE"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（二）实施</w:t>
      </w:r>
      <w:proofErr w:type="gramStart"/>
      <w:r>
        <w:rPr>
          <w:rFonts w:ascii="宋体" w:hAnsi="宋体" w:hint="eastAsia"/>
          <w:szCs w:val="21"/>
        </w:rPr>
        <w:t>侧袋机制</w:t>
      </w:r>
      <w:proofErr w:type="gramEnd"/>
      <w:r>
        <w:rPr>
          <w:rFonts w:ascii="宋体" w:hAnsi="宋体" w:hint="eastAsia"/>
          <w:szCs w:val="21"/>
        </w:rPr>
        <w:t>期间的基金投资</w:t>
      </w:r>
    </w:p>
    <w:p w14:paraId="32189720" w14:textId="77777777" w:rsidR="00706097" w:rsidRDefault="00DA6858">
      <w:pPr>
        <w:adjustRightInd w:val="0"/>
        <w:snapToGrid w:val="0"/>
        <w:spacing w:line="360" w:lineRule="auto"/>
        <w:ind w:firstLine="420"/>
        <w:rPr>
          <w:rFonts w:ascii="宋体" w:hAnsi="宋体"/>
          <w:szCs w:val="21"/>
        </w:rPr>
      </w:pPr>
      <w:proofErr w:type="gramStart"/>
      <w:r>
        <w:rPr>
          <w:rFonts w:ascii="宋体" w:hAnsi="宋体" w:hint="eastAsia"/>
          <w:szCs w:val="21"/>
        </w:rPr>
        <w:t>侧袋机制</w:t>
      </w:r>
      <w:proofErr w:type="gramEnd"/>
      <w:r>
        <w:rPr>
          <w:rFonts w:ascii="宋体" w:hAnsi="宋体" w:hint="eastAsia"/>
          <w:szCs w:val="21"/>
        </w:rPr>
        <w:t>实施期间，招募说明书“基金的投资”部分约定的投资组合比例、投资策略、组合限制、业绩比较基准、风险收益特征等约定仅</w:t>
      </w:r>
      <w:proofErr w:type="gramStart"/>
      <w:r>
        <w:rPr>
          <w:rFonts w:ascii="宋体" w:hAnsi="宋体" w:hint="eastAsia"/>
          <w:szCs w:val="21"/>
        </w:rPr>
        <w:t>适用于主袋账户</w:t>
      </w:r>
      <w:proofErr w:type="gramEnd"/>
      <w:r>
        <w:rPr>
          <w:rFonts w:ascii="宋体" w:hAnsi="宋体" w:hint="eastAsia"/>
          <w:szCs w:val="21"/>
        </w:rPr>
        <w:t>。基金管理人计算各项投资运作指标和基金业绩指标应当</w:t>
      </w:r>
      <w:proofErr w:type="gramStart"/>
      <w:r>
        <w:rPr>
          <w:rFonts w:ascii="宋体" w:hAnsi="宋体" w:hint="eastAsia"/>
          <w:szCs w:val="21"/>
        </w:rPr>
        <w:t>以主袋账户</w:t>
      </w:r>
      <w:proofErr w:type="gramEnd"/>
      <w:r>
        <w:rPr>
          <w:rFonts w:ascii="宋体" w:hAnsi="宋体" w:hint="eastAsia"/>
          <w:szCs w:val="21"/>
        </w:rPr>
        <w:t>资产为基准。</w:t>
      </w:r>
    </w:p>
    <w:p w14:paraId="746A631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基金管理人原则上应当在</w:t>
      </w:r>
      <w:proofErr w:type="gramStart"/>
      <w:r>
        <w:rPr>
          <w:rFonts w:ascii="宋体" w:hAnsi="宋体" w:hint="eastAsia"/>
          <w:szCs w:val="21"/>
        </w:rPr>
        <w:t>侧袋机制</w:t>
      </w:r>
      <w:proofErr w:type="gramEnd"/>
      <w:r>
        <w:rPr>
          <w:rFonts w:ascii="宋体" w:hAnsi="宋体" w:hint="eastAsia"/>
          <w:szCs w:val="21"/>
        </w:rPr>
        <w:t>启用后20个交易日内完成</w:t>
      </w:r>
      <w:proofErr w:type="gramStart"/>
      <w:r>
        <w:rPr>
          <w:rFonts w:ascii="宋体" w:hAnsi="宋体" w:hint="eastAsia"/>
          <w:szCs w:val="21"/>
        </w:rPr>
        <w:t>对主袋账户</w:t>
      </w:r>
      <w:proofErr w:type="gramEnd"/>
      <w:r>
        <w:rPr>
          <w:rFonts w:ascii="宋体" w:hAnsi="宋体" w:hint="eastAsia"/>
          <w:szCs w:val="21"/>
        </w:rPr>
        <w:t>投资组合的调整，因资产流动性受限等中国证监会规定的情形除外。</w:t>
      </w:r>
    </w:p>
    <w:p w14:paraId="30685999"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基金管理人不得</w:t>
      </w:r>
      <w:proofErr w:type="gramStart"/>
      <w:r>
        <w:rPr>
          <w:rFonts w:ascii="宋体" w:hAnsi="宋体" w:hint="eastAsia"/>
          <w:szCs w:val="21"/>
        </w:rPr>
        <w:t>在侧袋账户</w:t>
      </w:r>
      <w:proofErr w:type="gramEnd"/>
      <w:r>
        <w:rPr>
          <w:rFonts w:ascii="宋体" w:hAnsi="宋体" w:hint="eastAsia"/>
          <w:szCs w:val="21"/>
        </w:rPr>
        <w:t>中进行除特定资产处置变现以外的其他投资操作。</w:t>
      </w:r>
    </w:p>
    <w:p w14:paraId="2E422052"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（三）实施</w:t>
      </w:r>
      <w:proofErr w:type="gramStart"/>
      <w:r>
        <w:rPr>
          <w:rFonts w:ascii="宋体" w:hAnsi="宋体" w:hint="eastAsia"/>
          <w:szCs w:val="21"/>
        </w:rPr>
        <w:t>侧袋机制</w:t>
      </w:r>
      <w:proofErr w:type="gramEnd"/>
      <w:r>
        <w:rPr>
          <w:rFonts w:ascii="宋体" w:hAnsi="宋体" w:hint="eastAsia"/>
          <w:szCs w:val="21"/>
        </w:rPr>
        <w:t>期间的基金估值</w:t>
      </w:r>
    </w:p>
    <w:p w14:paraId="39DEA62F"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本基金实施</w:t>
      </w:r>
      <w:proofErr w:type="gramStart"/>
      <w:r>
        <w:rPr>
          <w:rFonts w:ascii="宋体" w:hAnsi="宋体" w:hint="eastAsia"/>
          <w:szCs w:val="21"/>
        </w:rPr>
        <w:t>侧袋机制</w:t>
      </w:r>
      <w:proofErr w:type="gramEnd"/>
      <w:r>
        <w:rPr>
          <w:rFonts w:ascii="宋体" w:hAnsi="宋体" w:hint="eastAsia"/>
          <w:szCs w:val="21"/>
        </w:rPr>
        <w:t>的，基金管理人和基金托管人</w:t>
      </w:r>
      <w:proofErr w:type="gramStart"/>
      <w:r>
        <w:rPr>
          <w:rFonts w:ascii="宋体" w:hAnsi="宋体" w:hint="eastAsia"/>
          <w:szCs w:val="21"/>
        </w:rPr>
        <w:t>应对主袋账户</w:t>
      </w:r>
      <w:proofErr w:type="gramEnd"/>
      <w:r>
        <w:rPr>
          <w:rFonts w:ascii="宋体" w:hAnsi="宋体" w:hint="eastAsia"/>
          <w:szCs w:val="21"/>
        </w:rPr>
        <w:t>资产进行估值并</w:t>
      </w:r>
      <w:proofErr w:type="gramStart"/>
      <w:r>
        <w:rPr>
          <w:rFonts w:ascii="宋体" w:hAnsi="宋体" w:hint="eastAsia"/>
          <w:szCs w:val="21"/>
        </w:rPr>
        <w:t>披露主袋账户</w:t>
      </w:r>
      <w:proofErr w:type="gramEnd"/>
      <w:r>
        <w:rPr>
          <w:rFonts w:ascii="宋体" w:hAnsi="宋体" w:hint="eastAsia"/>
          <w:szCs w:val="21"/>
        </w:rPr>
        <w:t>的基金净值信息，暂停</w:t>
      </w:r>
      <w:proofErr w:type="gramStart"/>
      <w:r>
        <w:rPr>
          <w:rFonts w:ascii="宋体" w:hAnsi="宋体" w:hint="eastAsia"/>
          <w:szCs w:val="21"/>
        </w:rPr>
        <w:t>披露侧袋账户</w:t>
      </w:r>
      <w:proofErr w:type="gramEnd"/>
      <w:r>
        <w:rPr>
          <w:rFonts w:ascii="宋体" w:hAnsi="宋体" w:hint="eastAsia"/>
          <w:szCs w:val="21"/>
        </w:rPr>
        <w:t>份额净值。</w:t>
      </w:r>
      <w:proofErr w:type="gramStart"/>
      <w:r>
        <w:rPr>
          <w:rFonts w:ascii="宋体" w:hAnsi="宋体" w:hint="eastAsia"/>
          <w:szCs w:val="21"/>
        </w:rPr>
        <w:t>侧袋账户</w:t>
      </w:r>
      <w:proofErr w:type="gramEnd"/>
      <w:r>
        <w:rPr>
          <w:rFonts w:ascii="宋体" w:hAnsi="宋体" w:hint="eastAsia"/>
          <w:szCs w:val="21"/>
        </w:rPr>
        <w:t>的会计核算应符合《企业会计准则》的相关要求。</w:t>
      </w:r>
    </w:p>
    <w:p w14:paraId="2D9A1BFD"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（四）</w:t>
      </w:r>
      <w:proofErr w:type="gramStart"/>
      <w:r>
        <w:rPr>
          <w:rFonts w:ascii="宋体" w:hAnsi="宋体" w:hint="eastAsia"/>
          <w:szCs w:val="21"/>
        </w:rPr>
        <w:t>实施侧袋账户</w:t>
      </w:r>
      <w:proofErr w:type="gramEnd"/>
      <w:r>
        <w:rPr>
          <w:rFonts w:ascii="宋体" w:hAnsi="宋体" w:hint="eastAsia"/>
          <w:szCs w:val="21"/>
        </w:rPr>
        <w:t>期间的基金费用</w:t>
      </w:r>
    </w:p>
    <w:p w14:paraId="0C307442"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1、本基金实施</w:t>
      </w:r>
      <w:proofErr w:type="gramStart"/>
      <w:r>
        <w:rPr>
          <w:rFonts w:ascii="宋体" w:hAnsi="宋体" w:hint="eastAsia"/>
          <w:szCs w:val="21"/>
        </w:rPr>
        <w:t>侧袋机制</w:t>
      </w:r>
      <w:proofErr w:type="gramEnd"/>
      <w:r>
        <w:rPr>
          <w:rFonts w:ascii="宋体" w:hAnsi="宋体" w:hint="eastAsia"/>
          <w:szCs w:val="21"/>
        </w:rPr>
        <w:t>的，管理费和托管费</w:t>
      </w:r>
      <w:proofErr w:type="gramStart"/>
      <w:r>
        <w:rPr>
          <w:rFonts w:ascii="宋体" w:hAnsi="宋体" w:hint="eastAsia"/>
          <w:szCs w:val="21"/>
        </w:rPr>
        <w:t>按主袋账户</w:t>
      </w:r>
      <w:proofErr w:type="gramEnd"/>
      <w:r>
        <w:rPr>
          <w:rFonts w:ascii="宋体" w:hAnsi="宋体" w:hint="eastAsia"/>
          <w:szCs w:val="21"/>
        </w:rPr>
        <w:t>基金资产净值作为基数计提。</w:t>
      </w:r>
    </w:p>
    <w:p w14:paraId="39E8B60F"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lastRenderedPageBreak/>
        <w:t>2、</w:t>
      </w:r>
      <w:proofErr w:type="gramStart"/>
      <w:r>
        <w:rPr>
          <w:rFonts w:ascii="宋体" w:hAnsi="宋体" w:hint="eastAsia"/>
          <w:szCs w:val="21"/>
        </w:rPr>
        <w:t>与侧袋账户</w:t>
      </w:r>
      <w:proofErr w:type="gramEnd"/>
      <w:r>
        <w:rPr>
          <w:rFonts w:ascii="宋体" w:hAnsi="宋体" w:hint="eastAsia"/>
          <w:szCs w:val="21"/>
        </w:rPr>
        <w:t>有关的费用可</w:t>
      </w:r>
      <w:proofErr w:type="gramStart"/>
      <w:r>
        <w:rPr>
          <w:rFonts w:ascii="宋体" w:hAnsi="宋体" w:hint="eastAsia"/>
          <w:szCs w:val="21"/>
        </w:rPr>
        <w:t>从侧袋账户</w:t>
      </w:r>
      <w:proofErr w:type="gramEnd"/>
      <w:r>
        <w:rPr>
          <w:rFonts w:ascii="宋体" w:hAnsi="宋体" w:hint="eastAsia"/>
          <w:szCs w:val="21"/>
        </w:rPr>
        <w:t>中列支，但应</w:t>
      </w:r>
      <w:proofErr w:type="gramStart"/>
      <w:r>
        <w:rPr>
          <w:rFonts w:ascii="宋体" w:hAnsi="宋体" w:hint="eastAsia"/>
          <w:szCs w:val="21"/>
        </w:rPr>
        <w:t>待侧袋</w:t>
      </w:r>
      <w:proofErr w:type="gramEnd"/>
      <w:r>
        <w:rPr>
          <w:rFonts w:ascii="宋体" w:hAnsi="宋体" w:hint="eastAsia"/>
          <w:szCs w:val="21"/>
        </w:rPr>
        <w:t>账户资产变现后方可列支，有关费用可酌情收取或减免，但不得收取管理费。</w:t>
      </w:r>
    </w:p>
    <w:p w14:paraId="2F9D2C2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（五）基金的信息披露</w:t>
      </w:r>
    </w:p>
    <w:p w14:paraId="3BB296D3"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1、基金净值信息</w:t>
      </w:r>
    </w:p>
    <w:p w14:paraId="4D50F644"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基金管理人应按照招募说明书“基金的信息披露”部分规定的基金净值信息披露方式和频率</w:t>
      </w:r>
      <w:proofErr w:type="gramStart"/>
      <w:r>
        <w:rPr>
          <w:rFonts w:ascii="宋体" w:hAnsi="宋体" w:hint="eastAsia"/>
          <w:szCs w:val="21"/>
        </w:rPr>
        <w:t>披露主袋账户</w:t>
      </w:r>
      <w:proofErr w:type="gramEnd"/>
      <w:r>
        <w:rPr>
          <w:rFonts w:ascii="宋体" w:hAnsi="宋体" w:hint="eastAsia"/>
          <w:szCs w:val="21"/>
        </w:rPr>
        <w:t>份额的基金份额净值和基金份额累计净值。实施</w:t>
      </w:r>
      <w:proofErr w:type="gramStart"/>
      <w:r>
        <w:rPr>
          <w:rFonts w:ascii="宋体" w:hAnsi="宋体" w:hint="eastAsia"/>
          <w:szCs w:val="21"/>
        </w:rPr>
        <w:t>侧袋机制</w:t>
      </w:r>
      <w:proofErr w:type="gramEnd"/>
      <w:r>
        <w:rPr>
          <w:rFonts w:ascii="宋体" w:hAnsi="宋体" w:hint="eastAsia"/>
          <w:szCs w:val="21"/>
        </w:rPr>
        <w:t>期间，本基金暂停</w:t>
      </w:r>
      <w:proofErr w:type="gramStart"/>
      <w:r>
        <w:rPr>
          <w:rFonts w:ascii="宋体" w:hAnsi="宋体" w:hint="eastAsia"/>
          <w:szCs w:val="21"/>
        </w:rPr>
        <w:t>披露侧袋账户</w:t>
      </w:r>
      <w:proofErr w:type="gramEnd"/>
      <w:r>
        <w:rPr>
          <w:rFonts w:ascii="宋体" w:hAnsi="宋体" w:hint="eastAsia"/>
          <w:szCs w:val="21"/>
        </w:rPr>
        <w:t>的基金份额净值和基金份额累计净值。</w:t>
      </w:r>
    </w:p>
    <w:p w14:paraId="360471D6"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2、定期报告</w:t>
      </w:r>
    </w:p>
    <w:p w14:paraId="638FDE21" w14:textId="77777777" w:rsidR="00706097" w:rsidRDefault="00DA6858">
      <w:pPr>
        <w:adjustRightInd w:val="0"/>
        <w:snapToGrid w:val="0"/>
        <w:spacing w:line="360" w:lineRule="auto"/>
        <w:ind w:firstLine="420"/>
        <w:rPr>
          <w:rFonts w:ascii="宋体" w:hAnsi="宋体"/>
          <w:szCs w:val="21"/>
        </w:rPr>
      </w:pPr>
      <w:proofErr w:type="gramStart"/>
      <w:r>
        <w:rPr>
          <w:rFonts w:ascii="宋体" w:hAnsi="宋体" w:hint="eastAsia"/>
          <w:szCs w:val="21"/>
        </w:rPr>
        <w:t>侧袋机制</w:t>
      </w:r>
      <w:proofErr w:type="gramEnd"/>
      <w:r>
        <w:rPr>
          <w:rFonts w:ascii="宋体" w:hAnsi="宋体" w:hint="eastAsia"/>
          <w:szCs w:val="21"/>
        </w:rPr>
        <w:t>实施期间，基金管理人应当在基金定期报告中披露报告期</w:t>
      </w:r>
      <w:proofErr w:type="gramStart"/>
      <w:r>
        <w:rPr>
          <w:rFonts w:ascii="宋体" w:hAnsi="宋体" w:hint="eastAsia"/>
          <w:szCs w:val="21"/>
        </w:rPr>
        <w:t>内侧袋</w:t>
      </w:r>
      <w:proofErr w:type="gramEnd"/>
      <w:r>
        <w:rPr>
          <w:rFonts w:ascii="宋体" w:hAnsi="宋体" w:hint="eastAsia"/>
          <w:szCs w:val="21"/>
        </w:rPr>
        <w:t>账户相关信息，基金定期报告中的基金会计报表仅需</w:t>
      </w:r>
      <w:proofErr w:type="gramStart"/>
      <w:r>
        <w:rPr>
          <w:rFonts w:ascii="宋体" w:hAnsi="宋体" w:hint="eastAsia"/>
          <w:szCs w:val="21"/>
        </w:rPr>
        <w:t>针对主袋账户</w:t>
      </w:r>
      <w:proofErr w:type="gramEnd"/>
      <w:r>
        <w:rPr>
          <w:rFonts w:ascii="宋体" w:hAnsi="宋体" w:hint="eastAsia"/>
          <w:szCs w:val="21"/>
        </w:rPr>
        <w:t>进行编制。会计师事务所对基金年度报告进行审计时，应对报告期内基金</w:t>
      </w:r>
      <w:proofErr w:type="gramStart"/>
      <w:r>
        <w:rPr>
          <w:rFonts w:ascii="宋体" w:hAnsi="宋体" w:hint="eastAsia"/>
          <w:szCs w:val="21"/>
        </w:rPr>
        <w:t>侧袋机制</w:t>
      </w:r>
      <w:proofErr w:type="gramEnd"/>
      <w:r>
        <w:rPr>
          <w:rFonts w:ascii="宋体" w:hAnsi="宋体" w:hint="eastAsia"/>
          <w:szCs w:val="21"/>
        </w:rPr>
        <w:t>运行相关的会计核算和年度报告披露等发表审计意见。</w:t>
      </w:r>
    </w:p>
    <w:p w14:paraId="21498B74"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3、临时报告</w:t>
      </w:r>
    </w:p>
    <w:p w14:paraId="1D77B776"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在</w:t>
      </w:r>
      <w:proofErr w:type="gramStart"/>
      <w:r>
        <w:rPr>
          <w:rFonts w:ascii="宋体" w:hAnsi="宋体" w:hint="eastAsia"/>
          <w:szCs w:val="21"/>
        </w:rPr>
        <w:t>启用侧袋机制</w:t>
      </w:r>
      <w:proofErr w:type="gramEnd"/>
      <w:r>
        <w:rPr>
          <w:rFonts w:ascii="宋体" w:hAnsi="宋体" w:hint="eastAsia"/>
          <w:szCs w:val="21"/>
        </w:rPr>
        <w:t>、处置特定资产、终止</w:t>
      </w:r>
      <w:proofErr w:type="gramStart"/>
      <w:r>
        <w:rPr>
          <w:rFonts w:ascii="宋体" w:hAnsi="宋体" w:hint="eastAsia"/>
          <w:szCs w:val="21"/>
        </w:rPr>
        <w:t>侧袋机制</w:t>
      </w:r>
      <w:proofErr w:type="gramEnd"/>
      <w:r>
        <w:rPr>
          <w:rFonts w:ascii="宋体" w:hAnsi="宋体" w:hint="eastAsia"/>
          <w:szCs w:val="21"/>
        </w:rPr>
        <w:t>以及发生其他可能对投资者利益产生重大影响的事项后基金管理人应及时发布临时公告。</w:t>
      </w:r>
    </w:p>
    <w:p w14:paraId="14C5E6F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（六）</w:t>
      </w:r>
      <w:proofErr w:type="gramStart"/>
      <w:r>
        <w:rPr>
          <w:rFonts w:ascii="宋体" w:hAnsi="宋体" w:hint="eastAsia"/>
          <w:szCs w:val="21"/>
        </w:rPr>
        <w:t>侧袋账户</w:t>
      </w:r>
      <w:proofErr w:type="gramEnd"/>
      <w:r>
        <w:rPr>
          <w:rFonts w:ascii="宋体" w:hAnsi="宋体" w:hint="eastAsia"/>
          <w:szCs w:val="21"/>
        </w:rPr>
        <w:t>中特定资产的处置变现和支付</w:t>
      </w:r>
    </w:p>
    <w:p w14:paraId="07393A1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特定资产以可出售、可转让、恢复交易等方式恢复流动性后，基金管理人应当按照基金份额持有人利益最大化原则，采取将特定资产予以处置变现等方式，及时</w:t>
      </w:r>
      <w:proofErr w:type="gramStart"/>
      <w:r>
        <w:rPr>
          <w:rFonts w:ascii="宋体" w:hAnsi="宋体" w:hint="eastAsia"/>
          <w:szCs w:val="21"/>
        </w:rPr>
        <w:t>向侧袋账户</w:t>
      </w:r>
      <w:proofErr w:type="gramEnd"/>
      <w:r>
        <w:rPr>
          <w:rFonts w:ascii="宋体" w:hAnsi="宋体" w:hint="eastAsia"/>
          <w:szCs w:val="21"/>
        </w:rPr>
        <w:t>份额持有人支付对应变现款项。</w:t>
      </w:r>
    </w:p>
    <w:p w14:paraId="397640F9" w14:textId="77777777" w:rsidR="00706097" w:rsidRDefault="00DA6858">
      <w:pPr>
        <w:adjustRightInd w:val="0"/>
        <w:snapToGrid w:val="0"/>
        <w:spacing w:line="360" w:lineRule="auto"/>
        <w:ind w:firstLine="420"/>
        <w:rPr>
          <w:rFonts w:ascii="宋体" w:hAnsi="宋体"/>
          <w:szCs w:val="21"/>
        </w:rPr>
      </w:pPr>
      <w:proofErr w:type="gramStart"/>
      <w:r>
        <w:rPr>
          <w:rFonts w:ascii="宋体" w:hAnsi="宋体" w:hint="eastAsia"/>
          <w:szCs w:val="21"/>
        </w:rPr>
        <w:t>侧袋机制</w:t>
      </w:r>
      <w:proofErr w:type="gramEnd"/>
      <w:r>
        <w:rPr>
          <w:rFonts w:ascii="宋体" w:hAnsi="宋体" w:hint="eastAsia"/>
          <w:szCs w:val="21"/>
        </w:rPr>
        <w:t>实施期间，</w:t>
      </w:r>
      <w:proofErr w:type="gramStart"/>
      <w:r>
        <w:rPr>
          <w:rFonts w:ascii="宋体" w:hAnsi="宋体" w:hint="eastAsia"/>
          <w:szCs w:val="21"/>
        </w:rPr>
        <w:t>无论侧袋账户</w:t>
      </w:r>
      <w:proofErr w:type="gramEnd"/>
      <w:r>
        <w:rPr>
          <w:rFonts w:ascii="宋体" w:hAnsi="宋体" w:hint="eastAsia"/>
          <w:szCs w:val="21"/>
        </w:rPr>
        <w:t>资产是否全部完成变现，基金管理人都应当及时</w:t>
      </w:r>
      <w:proofErr w:type="gramStart"/>
      <w:r>
        <w:rPr>
          <w:rFonts w:ascii="宋体" w:hAnsi="宋体" w:hint="eastAsia"/>
          <w:szCs w:val="21"/>
        </w:rPr>
        <w:t>向侧袋账户</w:t>
      </w:r>
      <w:proofErr w:type="gramEnd"/>
      <w:r>
        <w:rPr>
          <w:rFonts w:ascii="宋体" w:hAnsi="宋体" w:hint="eastAsia"/>
          <w:szCs w:val="21"/>
        </w:rPr>
        <w:t>全部份额持有人支付已变现部分对应的款项。</w:t>
      </w:r>
      <w:proofErr w:type="gramStart"/>
      <w:r>
        <w:rPr>
          <w:rFonts w:ascii="宋体" w:hAnsi="宋体" w:hint="eastAsia"/>
          <w:szCs w:val="21"/>
        </w:rPr>
        <w:t>若侧袋</w:t>
      </w:r>
      <w:proofErr w:type="gramEnd"/>
      <w:r>
        <w:rPr>
          <w:rFonts w:ascii="宋体" w:hAnsi="宋体" w:hint="eastAsia"/>
          <w:szCs w:val="21"/>
        </w:rPr>
        <w:t>账户资产无法一次性完成处置变现，基金管理人在每次处置变现后均应按照相关法律法规要求及时发布临时公告。</w:t>
      </w:r>
    </w:p>
    <w:p w14:paraId="08A76847" w14:textId="77777777" w:rsidR="00706097" w:rsidRDefault="00DA6858">
      <w:pPr>
        <w:adjustRightInd w:val="0"/>
        <w:snapToGrid w:val="0"/>
        <w:spacing w:line="360" w:lineRule="auto"/>
        <w:ind w:firstLine="420"/>
        <w:rPr>
          <w:rFonts w:ascii="宋体" w:hAnsi="宋体"/>
          <w:szCs w:val="21"/>
        </w:rPr>
      </w:pPr>
      <w:proofErr w:type="gramStart"/>
      <w:r>
        <w:rPr>
          <w:rFonts w:ascii="宋体" w:hAnsi="宋体" w:hint="eastAsia"/>
          <w:szCs w:val="21"/>
        </w:rPr>
        <w:t>侧袋账户</w:t>
      </w:r>
      <w:proofErr w:type="gramEnd"/>
      <w:r>
        <w:rPr>
          <w:rFonts w:ascii="宋体" w:hAnsi="宋体" w:hint="eastAsia"/>
          <w:szCs w:val="21"/>
        </w:rPr>
        <w:t>资产全部完成变现并终止</w:t>
      </w:r>
      <w:proofErr w:type="gramStart"/>
      <w:r>
        <w:rPr>
          <w:rFonts w:ascii="宋体" w:hAnsi="宋体" w:hint="eastAsia"/>
          <w:szCs w:val="21"/>
        </w:rPr>
        <w:t>侧袋机制</w:t>
      </w:r>
      <w:proofErr w:type="gramEnd"/>
      <w:r>
        <w:rPr>
          <w:rFonts w:ascii="宋体" w:hAnsi="宋体" w:hint="eastAsia"/>
          <w:szCs w:val="21"/>
        </w:rPr>
        <w:t>后，基金管理人应及时聘请符合《中华人民共和国证券法》规定的会计师事务所进行审计并披露专项审计意见。</w:t>
      </w:r>
    </w:p>
    <w:p w14:paraId="19581AC7" w14:textId="77777777" w:rsidR="00706097" w:rsidRDefault="00706097"/>
    <w:p w14:paraId="6407F37F"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02" w:name="_Toc76483030"/>
      <w:r>
        <w:rPr>
          <w:rFonts w:ascii="宋体" w:eastAsia="宋体" w:hAnsi="宋体" w:hint="eastAsia"/>
        </w:rPr>
        <w:t>风险揭示</w:t>
      </w:r>
      <w:bookmarkEnd w:id="295"/>
      <w:bookmarkEnd w:id="296"/>
      <w:bookmarkEnd w:id="297"/>
      <w:bookmarkEnd w:id="298"/>
      <w:bookmarkEnd w:id="299"/>
      <w:bookmarkEnd w:id="300"/>
      <w:bookmarkEnd w:id="301"/>
      <w:bookmarkEnd w:id="302"/>
    </w:p>
    <w:p w14:paraId="2015399D" w14:textId="77777777" w:rsidR="00706097" w:rsidRDefault="00706097">
      <w:pPr>
        <w:snapToGrid w:val="0"/>
        <w:spacing w:line="360" w:lineRule="auto"/>
        <w:ind w:firstLine="420"/>
        <w:rPr>
          <w:rFonts w:ascii="宋体" w:hAnsi="宋体"/>
          <w:b/>
          <w:bCs/>
          <w:szCs w:val="21"/>
        </w:rPr>
      </w:pPr>
    </w:p>
    <w:p w14:paraId="694FF3C8" w14:textId="77777777" w:rsidR="00706097" w:rsidRDefault="00DA6858">
      <w:pPr>
        <w:snapToGrid w:val="0"/>
        <w:spacing w:line="360" w:lineRule="auto"/>
        <w:ind w:firstLine="420"/>
        <w:rPr>
          <w:rFonts w:ascii="宋体" w:hAnsi="宋体"/>
          <w:b/>
          <w:bCs/>
          <w:szCs w:val="21"/>
        </w:rPr>
      </w:pPr>
      <w:r>
        <w:rPr>
          <w:rFonts w:ascii="宋体" w:hAnsi="宋体" w:hint="eastAsia"/>
          <w:b/>
          <w:bCs/>
          <w:szCs w:val="21"/>
        </w:rPr>
        <w:t>一、市场风险</w:t>
      </w:r>
    </w:p>
    <w:p w14:paraId="3B481EE4" w14:textId="77777777" w:rsidR="00706097" w:rsidRDefault="00DA6858">
      <w:pPr>
        <w:adjustRightInd w:val="0"/>
        <w:snapToGrid w:val="0"/>
        <w:spacing w:line="360" w:lineRule="auto"/>
        <w:ind w:firstLine="480"/>
        <w:rPr>
          <w:rFonts w:ascii="宋体" w:hAnsi="宋体"/>
          <w:szCs w:val="21"/>
        </w:rPr>
      </w:pPr>
      <w:r>
        <w:rPr>
          <w:rFonts w:ascii="宋体" w:hAnsi="宋体" w:hint="eastAsia"/>
          <w:szCs w:val="21"/>
        </w:rPr>
        <w:t>证券市场价格受到经济因素、政治因素、投资心理和交易制度等各种因素的影响，导致基金收益水平变化，产生风险，主要包括：</w:t>
      </w:r>
    </w:p>
    <w:p w14:paraId="58D5E57F" w14:textId="77777777" w:rsidR="00706097" w:rsidRDefault="00DA6858">
      <w:pPr>
        <w:adjustRightInd w:val="0"/>
        <w:snapToGrid w:val="0"/>
        <w:spacing w:line="360" w:lineRule="auto"/>
        <w:ind w:firstLine="420"/>
        <w:rPr>
          <w:rFonts w:ascii="宋体" w:hAnsi="宋体"/>
          <w:szCs w:val="21"/>
        </w:rPr>
      </w:pPr>
      <w:r>
        <w:rPr>
          <w:rFonts w:ascii="宋体" w:hAnsi="宋体"/>
          <w:szCs w:val="21"/>
        </w:rPr>
        <w:t>1</w:t>
      </w:r>
      <w:r>
        <w:rPr>
          <w:rFonts w:ascii="宋体" w:hAnsi="宋体" w:hint="eastAsia"/>
          <w:szCs w:val="21"/>
        </w:rPr>
        <w:t>、政策风险。因国家宏观政策（如货币政策、财政政策、行业政策、地区发展政策等）发生变化，导致市场价格波动而产生风险；</w:t>
      </w:r>
    </w:p>
    <w:p w14:paraId="20D21CB8" w14:textId="77777777" w:rsidR="00706097" w:rsidRDefault="00DA6858">
      <w:pPr>
        <w:adjustRightInd w:val="0"/>
        <w:snapToGrid w:val="0"/>
        <w:spacing w:line="360" w:lineRule="auto"/>
        <w:ind w:firstLine="420"/>
        <w:rPr>
          <w:rFonts w:ascii="宋体" w:hAnsi="宋体"/>
          <w:szCs w:val="21"/>
        </w:rPr>
      </w:pPr>
      <w:r>
        <w:rPr>
          <w:rFonts w:ascii="宋体" w:hAnsi="宋体"/>
          <w:szCs w:val="21"/>
        </w:rPr>
        <w:t>2</w:t>
      </w:r>
      <w:r>
        <w:rPr>
          <w:rFonts w:ascii="宋体" w:hAnsi="宋体" w:hint="eastAsia"/>
          <w:szCs w:val="21"/>
        </w:rPr>
        <w:t>、经济周期风险。随经济运行的周期性变化，证券市场的收益水平也呈周期性变化。基金投资于国债与上市公司的股票，收益水平也会随之变化，从而产生风险；</w:t>
      </w:r>
    </w:p>
    <w:p w14:paraId="37A481AE"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3</w:t>
      </w:r>
      <w:r>
        <w:rPr>
          <w:rFonts w:ascii="宋体" w:hAnsi="宋体" w:hint="eastAsia"/>
          <w:szCs w:val="21"/>
        </w:rPr>
        <w:t>、利率风险。金融市场利率的波动会导致证券市场价格和收益率的变动。利率直接影响着国债的价格和收益率，影响着企业的融资成本和利润。基金投资于国债和股票，其收益水平会受到利率变化的影响；</w:t>
      </w:r>
    </w:p>
    <w:p w14:paraId="3D0FCAF3" w14:textId="77777777" w:rsidR="00706097" w:rsidRDefault="00DA6858">
      <w:pPr>
        <w:snapToGrid w:val="0"/>
        <w:spacing w:line="360" w:lineRule="auto"/>
        <w:ind w:firstLineChars="200" w:firstLine="420"/>
        <w:rPr>
          <w:rFonts w:ascii="宋体" w:hAnsi="宋体"/>
          <w:szCs w:val="21"/>
        </w:rPr>
      </w:pPr>
      <w:r>
        <w:rPr>
          <w:rFonts w:ascii="宋体" w:hAnsi="宋体"/>
          <w:szCs w:val="21"/>
        </w:rPr>
        <w:t>4</w:t>
      </w:r>
      <w:r>
        <w:rPr>
          <w:rFonts w:ascii="宋体" w:hAnsi="宋体" w:hint="eastAsia"/>
          <w:szCs w:val="21"/>
        </w:rPr>
        <w:t>、购买力风险。基金的利润将主要通过现金形式来分配，而现金可能因为通货膨胀的影响而导致购买力下降，从而使基金的实际收益下降；</w:t>
      </w:r>
    </w:p>
    <w:p w14:paraId="21E9A4D8" w14:textId="77777777" w:rsidR="00706097" w:rsidRDefault="00DA6858">
      <w:pPr>
        <w:snapToGrid w:val="0"/>
        <w:spacing w:line="360" w:lineRule="auto"/>
        <w:ind w:firstLineChars="200" w:firstLine="420"/>
        <w:rPr>
          <w:rFonts w:ascii="宋体" w:hAnsi="宋体"/>
          <w:szCs w:val="21"/>
        </w:rPr>
      </w:pPr>
      <w:r>
        <w:rPr>
          <w:rFonts w:ascii="宋体" w:hAnsi="宋体"/>
          <w:szCs w:val="21"/>
        </w:rPr>
        <w:t>5</w:t>
      </w:r>
      <w:r>
        <w:rPr>
          <w:rFonts w:ascii="宋体" w:hAnsi="宋体" w:hint="eastAsia"/>
          <w:szCs w:val="21"/>
        </w:rPr>
        <w:t>、信用风险。主要是指债务人的违约风险，若债务人经营不善，资不抵债，债权人可能会损失掉大部分的投资，这主要体现在企业债中；</w:t>
      </w:r>
    </w:p>
    <w:p w14:paraId="1B65C0C5" w14:textId="77777777" w:rsidR="00706097" w:rsidRDefault="00DA6858">
      <w:pPr>
        <w:snapToGrid w:val="0"/>
        <w:spacing w:line="360" w:lineRule="auto"/>
        <w:ind w:firstLineChars="200" w:firstLine="420"/>
        <w:rPr>
          <w:rFonts w:ascii="宋体" w:hAnsi="宋体"/>
          <w:szCs w:val="21"/>
        </w:rPr>
      </w:pPr>
      <w:r>
        <w:rPr>
          <w:rFonts w:ascii="宋体" w:hAnsi="宋体"/>
          <w:szCs w:val="21"/>
        </w:rPr>
        <w:t>6、债券收益率曲线变动风险。债券收益率曲线变动风险是指与收益率曲线非平行移动有关的风险，单一的</w:t>
      </w:r>
      <w:proofErr w:type="gramStart"/>
      <w:r>
        <w:rPr>
          <w:rFonts w:ascii="宋体" w:hAnsi="宋体"/>
          <w:szCs w:val="21"/>
        </w:rPr>
        <w:t>久期指标</w:t>
      </w:r>
      <w:proofErr w:type="gramEnd"/>
      <w:r>
        <w:rPr>
          <w:rFonts w:ascii="宋体" w:hAnsi="宋体"/>
          <w:szCs w:val="21"/>
        </w:rPr>
        <w:t>并不能充分反映这一风险的存在</w:t>
      </w:r>
      <w:r>
        <w:rPr>
          <w:rFonts w:ascii="宋体" w:hAnsi="宋体" w:hint="eastAsia"/>
          <w:szCs w:val="21"/>
        </w:rPr>
        <w:t>；</w:t>
      </w:r>
    </w:p>
    <w:p w14:paraId="29A1184A" w14:textId="77777777" w:rsidR="00706097" w:rsidRDefault="00DA6858">
      <w:pPr>
        <w:snapToGrid w:val="0"/>
        <w:spacing w:line="360" w:lineRule="auto"/>
        <w:ind w:firstLineChars="200" w:firstLine="420"/>
        <w:rPr>
          <w:rFonts w:ascii="宋体" w:hAnsi="宋体"/>
          <w:szCs w:val="21"/>
        </w:rPr>
      </w:pPr>
      <w:r>
        <w:rPr>
          <w:rFonts w:ascii="宋体" w:hAnsi="宋体"/>
          <w:szCs w:val="21"/>
        </w:rPr>
        <w:t>7、再投资风险。再投资风险反映了利率下降对固定收益证券利息收入再投资收益的影响，这与利率上升所带来的价格风险（即前面所提到的利率风险）互为消长。具体为当利率下降时，基金从投资的固定收益证券所得的利息收入进行再投资时，将获得较少的收益率。</w:t>
      </w:r>
    </w:p>
    <w:p w14:paraId="242D96BE" w14:textId="77777777" w:rsidR="00706097" w:rsidRDefault="00706097">
      <w:pPr>
        <w:snapToGrid w:val="0"/>
        <w:spacing w:line="360" w:lineRule="auto"/>
        <w:ind w:firstLineChars="200" w:firstLine="420"/>
        <w:rPr>
          <w:rFonts w:ascii="宋体" w:hAnsi="宋体"/>
          <w:szCs w:val="21"/>
        </w:rPr>
      </w:pPr>
    </w:p>
    <w:p w14:paraId="03FCB1EC" w14:textId="77777777" w:rsidR="00706097" w:rsidRDefault="00DA6858">
      <w:pPr>
        <w:snapToGrid w:val="0"/>
        <w:spacing w:line="360" w:lineRule="auto"/>
        <w:ind w:firstLineChars="200" w:firstLine="422"/>
        <w:rPr>
          <w:b/>
        </w:rPr>
      </w:pPr>
      <w:r>
        <w:rPr>
          <w:rFonts w:hint="eastAsia"/>
          <w:b/>
        </w:rPr>
        <w:t>二</w:t>
      </w:r>
      <w:r>
        <w:rPr>
          <w:b/>
        </w:rPr>
        <w:t>、开放式基金共有的风险</w:t>
      </w:r>
      <w:r>
        <w:rPr>
          <w:b/>
        </w:rPr>
        <w:t xml:space="preserve"> </w:t>
      </w:r>
    </w:p>
    <w:p w14:paraId="1042555F" w14:textId="77777777" w:rsidR="00706097" w:rsidRDefault="00DA6858">
      <w:pPr>
        <w:snapToGrid w:val="0"/>
        <w:spacing w:line="360" w:lineRule="auto"/>
        <w:ind w:firstLineChars="200" w:firstLine="420"/>
      </w:pPr>
      <w:r>
        <w:t>1</w:t>
      </w:r>
      <w:r>
        <w:t>、管理风险。在基金管理运作过程中基金管理人的知识、经验、判断、决策、技能等，</w:t>
      </w:r>
      <w:r>
        <w:t xml:space="preserve"> </w:t>
      </w:r>
      <w:r>
        <w:t>会影响其对信息的占有和对经济形势、证券价格走势的判断，从而影响基金收益水平，造成管理风险。</w:t>
      </w:r>
    </w:p>
    <w:p w14:paraId="5BD1DE8C" w14:textId="77777777" w:rsidR="00706097" w:rsidRDefault="00DA6858">
      <w:pPr>
        <w:snapToGrid w:val="0"/>
        <w:spacing w:line="360" w:lineRule="auto"/>
        <w:ind w:firstLineChars="200" w:firstLine="420"/>
      </w:pPr>
      <w:r>
        <w:t>2</w:t>
      </w:r>
      <w:r>
        <w:t>、流动性风险。基金投资组合中的投资品种会因各种原因面临流动性风险，使证券交易的执行难度提高，买入成本或变现成本增加。此外，本基金属开放式基金，在所有开放日管理人有义务接受投资人的赎回。如果出现巨额赎回的情形，可能造成基金</w:t>
      </w:r>
      <w:proofErr w:type="gramStart"/>
      <w:r>
        <w:t>仓位</w:t>
      </w:r>
      <w:proofErr w:type="gramEnd"/>
      <w:r>
        <w:t>调整和资产变现困难，加剧流动性风险。为了克服流动性风险，本基金将在坚持分散化投资和精选个</w:t>
      </w:r>
      <w:proofErr w:type="gramStart"/>
      <w:r>
        <w:t>券</w:t>
      </w:r>
      <w:proofErr w:type="gramEnd"/>
      <w:r>
        <w:t>原则的基础上，通过一系列风险控制指标加强对流动性风险的跟踪、防范和控制，但基金管理人并不保证完全避免此类风险。</w:t>
      </w:r>
      <w:r>
        <w:t xml:space="preserve"> </w:t>
      </w:r>
    </w:p>
    <w:p w14:paraId="1D53942D" w14:textId="77777777" w:rsidR="00706097" w:rsidRDefault="00DA6858">
      <w:pPr>
        <w:snapToGrid w:val="0"/>
        <w:spacing w:line="360" w:lineRule="auto"/>
        <w:ind w:firstLineChars="200" w:firstLine="420"/>
      </w:pPr>
      <w:r>
        <w:t>3</w:t>
      </w:r>
      <w:r>
        <w:t>、其他风险</w:t>
      </w:r>
      <w:r>
        <w:t xml:space="preserve"> </w:t>
      </w:r>
    </w:p>
    <w:p w14:paraId="2A684ABB" w14:textId="77777777" w:rsidR="00706097" w:rsidRDefault="00DA6858">
      <w:pPr>
        <w:snapToGrid w:val="0"/>
        <w:spacing w:line="360" w:lineRule="auto"/>
        <w:ind w:firstLineChars="200" w:firstLine="420"/>
      </w:pPr>
      <w:r>
        <w:t>（</w:t>
      </w:r>
      <w:r>
        <w:t>1</w:t>
      </w:r>
      <w:r>
        <w:t>）因技术因素而产生的风险，如电脑系统不可靠产生的风险；</w:t>
      </w:r>
      <w:r>
        <w:t xml:space="preserve"> </w:t>
      </w:r>
    </w:p>
    <w:p w14:paraId="7E07AD3D" w14:textId="77777777" w:rsidR="00706097" w:rsidRDefault="00DA6858">
      <w:pPr>
        <w:snapToGrid w:val="0"/>
        <w:spacing w:line="360" w:lineRule="auto"/>
        <w:ind w:firstLineChars="200" w:firstLine="420"/>
      </w:pPr>
      <w:r>
        <w:t>（</w:t>
      </w:r>
      <w:r>
        <w:t>2</w:t>
      </w:r>
      <w:r>
        <w:t>）因业务快速发展而在制度建设、人员配备、内控制度建立等不完善而产生的风险；</w:t>
      </w:r>
    </w:p>
    <w:p w14:paraId="078DFE0A" w14:textId="77777777" w:rsidR="00706097" w:rsidRDefault="00DA6858">
      <w:pPr>
        <w:snapToGrid w:val="0"/>
        <w:spacing w:line="360" w:lineRule="auto"/>
        <w:ind w:firstLineChars="150" w:firstLine="315"/>
      </w:pPr>
      <w:r>
        <w:t xml:space="preserve"> </w:t>
      </w:r>
      <w:r>
        <w:t>（</w:t>
      </w:r>
      <w:r>
        <w:t>3</w:t>
      </w:r>
      <w:r>
        <w:t>）因人为因素而产生的风险、如内幕交易、欺诈行为等产生的风险；</w:t>
      </w:r>
      <w:r>
        <w:t xml:space="preserve"> </w:t>
      </w:r>
    </w:p>
    <w:p w14:paraId="6D57894A" w14:textId="77777777" w:rsidR="00706097" w:rsidRDefault="00DA6858">
      <w:pPr>
        <w:snapToGrid w:val="0"/>
        <w:spacing w:line="360" w:lineRule="auto"/>
        <w:ind w:firstLineChars="200" w:firstLine="420"/>
      </w:pPr>
      <w:r>
        <w:t>（</w:t>
      </w:r>
      <w:r>
        <w:t>4</w:t>
      </w:r>
      <w:r>
        <w:t>）对主要业务人员如基金经理的依赖而可能产生的风险；</w:t>
      </w:r>
      <w:r>
        <w:t xml:space="preserve"> </w:t>
      </w:r>
    </w:p>
    <w:p w14:paraId="523ADCE9" w14:textId="77777777" w:rsidR="00706097" w:rsidRDefault="00DA6858">
      <w:pPr>
        <w:snapToGrid w:val="0"/>
        <w:spacing w:line="360" w:lineRule="auto"/>
        <w:ind w:firstLineChars="200" w:firstLine="420"/>
      </w:pPr>
      <w:r>
        <w:t>（</w:t>
      </w:r>
      <w:r>
        <w:t>5</w:t>
      </w:r>
      <w:r>
        <w:t>）因业务竞争压力可能产生的风险；</w:t>
      </w:r>
    </w:p>
    <w:p w14:paraId="3739A864" w14:textId="77777777" w:rsidR="00706097" w:rsidRDefault="00DA6858">
      <w:pPr>
        <w:snapToGrid w:val="0"/>
        <w:spacing w:line="360" w:lineRule="auto"/>
        <w:ind w:firstLineChars="200" w:firstLine="420"/>
      </w:pPr>
      <w:r>
        <w:rPr>
          <w:rFonts w:hint="eastAsia"/>
        </w:rPr>
        <w:t>（</w:t>
      </w:r>
      <w:r>
        <w:rPr>
          <w:rFonts w:hint="eastAsia"/>
        </w:rPr>
        <w:t>6</w:t>
      </w:r>
      <w:r>
        <w:rPr>
          <w:rFonts w:hint="eastAsia"/>
        </w:rPr>
        <w:t>）不可抗力可能导致基金资产的损失，影响基金收益水平，从而带来风险；</w:t>
      </w:r>
    </w:p>
    <w:p w14:paraId="39FDE4B0" w14:textId="77777777" w:rsidR="00706097" w:rsidRDefault="00DA6858">
      <w:pPr>
        <w:snapToGrid w:val="0"/>
        <w:spacing w:line="360" w:lineRule="auto"/>
        <w:ind w:firstLineChars="200" w:firstLine="420"/>
      </w:pPr>
      <w:r>
        <w:rPr>
          <w:rFonts w:hint="eastAsia"/>
        </w:rPr>
        <w:t>（</w:t>
      </w:r>
      <w:r>
        <w:rPr>
          <w:rFonts w:hint="eastAsia"/>
        </w:rPr>
        <w:t>7</w:t>
      </w:r>
      <w:r>
        <w:rPr>
          <w:rFonts w:hint="eastAsia"/>
        </w:rPr>
        <w:t>）其他意外导致的风险。</w:t>
      </w:r>
    </w:p>
    <w:p w14:paraId="5C3AFE0A" w14:textId="77777777" w:rsidR="00706097" w:rsidRDefault="00706097">
      <w:pPr>
        <w:snapToGrid w:val="0"/>
        <w:spacing w:line="360" w:lineRule="auto"/>
        <w:rPr>
          <w:rFonts w:ascii="宋体" w:hAnsi="宋体"/>
          <w:szCs w:val="21"/>
        </w:rPr>
      </w:pPr>
    </w:p>
    <w:p w14:paraId="5E30B81F" w14:textId="77777777" w:rsidR="00706097" w:rsidRDefault="00DA6858">
      <w:pPr>
        <w:snapToGrid w:val="0"/>
        <w:spacing w:line="360" w:lineRule="auto"/>
        <w:ind w:firstLine="422"/>
        <w:rPr>
          <w:rFonts w:ascii="宋体" w:hAnsi="宋体"/>
          <w:b/>
          <w:bCs/>
          <w:szCs w:val="21"/>
        </w:rPr>
      </w:pPr>
      <w:r>
        <w:rPr>
          <w:rFonts w:ascii="宋体" w:hAnsi="宋体" w:hint="eastAsia"/>
          <w:b/>
          <w:bCs/>
          <w:szCs w:val="21"/>
        </w:rPr>
        <w:t>三、本基金特有的风险</w:t>
      </w:r>
    </w:p>
    <w:p w14:paraId="0E146C16" w14:textId="77777777" w:rsidR="00706097" w:rsidRDefault="00DA6858">
      <w:pPr>
        <w:snapToGrid w:val="0"/>
        <w:spacing w:line="360" w:lineRule="auto"/>
        <w:ind w:firstLineChars="200" w:firstLine="420"/>
        <w:rPr>
          <w:rFonts w:hAnsi="宋体"/>
          <w:szCs w:val="21"/>
        </w:rPr>
      </w:pPr>
      <w:r>
        <w:rPr>
          <w:rFonts w:hAnsi="宋体"/>
          <w:szCs w:val="21"/>
        </w:rPr>
        <w:t>1</w:t>
      </w:r>
      <w:r>
        <w:rPr>
          <w:rFonts w:hAnsi="宋体"/>
          <w:szCs w:val="21"/>
        </w:rPr>
        <w:t>、本基金为债券型证券投资基金，债券投资占基金资产的比例不低于</w:t>
      </w:r>
      <w:r>
        <w:rPr>
          <w:rFonts w:hAnsi="宋体"/>
          <w:szCs w:val="21"/>
        </w:rPr>
        <w:t xml:space="preserve"> 80%</w:t>
      </w:r>
      <w:r>
        <w:rPr>
          <w:rFonts w:hAnsi="宋体"/>
          <w:szCs w:val="21"/>
        </w:rPr>
        <w:t>，</w:t>
      </w:r>
      <w:r>
        <w:rPr>
          <w:rFonts w:hAnsi="宋体" w:hint="eastAsia"/>
          <w:szCs w:val="21"/>
        </w:rPr>
        <w:t>投资于短</w:t>
      </w:r>
      <w:r>
        <w:rPr>
          <w:rFonts w:hAnsi="宋体" w:hint="eastAsia"/>
          <w:szCs w:val="21"/>
        </w:rPr>
        <w:lastRenderedPageBreak/>
        <w:t>期债券的比例不低于非现金基金资产的</w:t>
      </w:r>
      <w:r>
        <w:rPr>
          <w:rFonts w:hAnsi="宋体" w:hint="eastAsia"/>
          <w:szCs w:val="21"/>
        </w:rPr>
        <w:t>80%</w:t>
      </w:r>
      <w:r>
        <w:rPr>
          <w:rFonts w:hAnsi="宋体" w:hint="eastAsia"/>
          <w:szCs w:val="21"/>
        </w:rPr>
        <w:t>。</w:t>
      </w:r>
      <w:r>
        <w:rPr>
          <w:rFonts w:hAnsi="宋体"/>
          <w:szCs w:val="21"/>
        </w:rPr>
        <w:t>因此，本基金除承担由于市场利率波动造成的利率风险外还要承担如企业债、公司债等信用品种的发债主体信用恶化造成的信用风险。</w:t>
      </w:r>
      <w:r>
        <w:rPr>
          <w:rFonts w:hAnsi="宋体"/>
          <w:szCs w:val="21"/>
        </w:rPr>
        <w:t xml:space="preserve"> </w:t>
      </w:r>
    </w:p>
    <w:p w14:paraId="40832DE8" w14:textId="77777777" w:rsidR="00706097" w:rsidRDefault="00DA6858">
      <w:pPr>
        <w:snapToGrid w:val="0"/>
        <w:spacing w:line="360" w:lineRule="auto"/>
        <w:ind w:firstLineChars="200" w:firstLine="420"/>
        <w:rPr>
          <w:rFonts w:hAnsi="宋体"/>
          <w:szCs w:val="21"/>
        </w:rPr>
      </w:pPr>
      <w:r>
        <w:rPr>
          <w:rFonts w:hAnsi="宋体"/>
          <w:szCs w:val="21"/>
        </w:rPr>
        <w:t>2</w:t>
      </w:r>
      <w:r>
        <w:rPr>
          <w:rFonts w:hAnsi="宋体"/>
          <w:szCs w:val="21"/>
        </w:rPr>
        <w:t>、</w:t>
      </w:r>
      <w:bookmarkStart w:id="303" w:name="_Hlk14347866"/>
      <w:r>
        <w:rPr>
          <w:rFonts w:hAnsi="宋体"/>
          <w:szCs w:val="21"/>
        </w:rPr>
        <w:t>本基金的投资范围包括资产支持证券。资产支持证券存在信用风险、利率风险、流动性风险、提前偿付风险、操作风险和法律风险等。</w:t>
      </w:r>
      <w:bookmarkEnd w:id="303"/>
      <w:r>
        <w:rPr>
          <w:rFonts w:hAnsi="宋体"/>
          <w:szCs w:val="21"/>
        </w:rPr>
        <w:t xml:space="preserve"> </w:t>
      </w:r>
    </w:p>
    <w:p w14:paraId="0384F3AD"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1</w:t>
      </w:r>
      <w:r>
        <w:rPr>
          <w:rFonts w:hAnsi="宋体"/>
          <w:szCs w:val="21"/>
        </w:rPr>
        <w:t>）信用风险也称为违约风险，它是指资产支持证券参与主体对它们所承诺的各种合约的违约所造成的可能损失。从简单意义上讲，信用风险表现为证券化资产所产生的现金流不能支持本金和利息的及时支付而给投资者带来损失。</w:t>
      </w:r>
      <w:r>
        <w:rPr>
          <w:rFonts w:hAnsi="宋体"/>
          <w:szCs w:val="21"/>
        </w:rPr>
        <w:t xml:space="preserve"> </w:t>
      </w:r>
    </w:p>
    <w:p w14:paraId="1E84F7E3"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2</w:t>
      </w:r>
      <w:r>
        <w:rPr>
          <w:rFonts w:hAnsi="宋体"/>
          <w:szCs w:val="21"/>
        </w:rPr>
        <w:t>）利率风险是指资产支持证券作为固定收益证券的一种，也具有利率风险，即资产</w:t>
      </w:r>
      <w:r>
        <w:rPr>
          <w:rFonts w:hAnsi="宋体"/>
          <w:szCs w:val="21"/>
        </w:rPr>
        <w:t xml:space="preserve"> </w:t>
      </w:r>
      <w:r>
        <w:rPr>
          <w:rFonts w:hAnsi="宋体"/>
          <w:szCs w:val="21"/>
        </w:rPr>
        <w:t>支持证券的价格受利率波动发生变动而造成的风险。</w:t>
      </w:r>
      <w:r>
        <w:rPr>
          <w:rFonts w:hAnsi="宋体"/>
          <w:szCs w:val="21"/>
        </w:rPr>
        <w:t xml:space="preserve"> </w:t>
      </w:r>
    </w:p>
    <w:p w14:paraId="6E26703E"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3</w:t>
      </w:r>
      <w:r>
        <w:rPr>
          <w:rFonts w:hAnsi="宋体"/>
          <w:szCs w:val="21"/>
        </w:rPr>
        <w:t>）流动性风险是指资产支持证券不能迅速、低成本地变现的风险。</w:t>
      </w:r>
      <w:r>
        <w:rPr>
          <w:rFonts w:hAnsi="宋体"/>
          <w:szCs w:val="21"/>
        </w:rPr>
        <w:t xml:space="preserve"> </w:t>
      </w:r>
    </w:p>
    <w:p w14:paraId="53ACDDE1"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4</w:t>
      </w:r>
      <w:r>
        <w:rPr>
          <w:rFonts w:hAnsi="宋体"/>
          <w:szCs w:val="21"/>
        </w:rPr>
        <w:t>）提前偿付风险是指</w:t>
      </w:r>
      <w:proofErr w:type="gramStart"/>
      <w:r>
        <w:rPr>
          <w:rFonts w:hAnsi="宋体"/>
          <w:szCs w:val="21"/>
        </w:rPr>
        <w:t>若合同</w:t>
      </w:r>
      <w:proofErr w:type="gramEnd"/>
      <w:r>
        <w:rPr>
          <w:rFonts w:hAnsi="宋体"/>
          <w:szCs w:val="21"/>
        </w:rPr>
        <w:t>约定债务人有权在产品到期前偿还，则存在由于提前偿付而使投资者遭受损失的可能性。</w:t>
      </w:r>
      <w:r>
        <w:rPr>
          <w:rFonts w:hAnsi="宋体"/>
          <w:szCs w:val="21"/>
        </w:rPr>
        <w:t xml:space="preserve"> </w:t>
      </w:r>
    </w:p>
    <w:p w14:paraId="29C8D52F"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5</w:t>
      </w:r>
      <w:r>
        <w:rPr>
          <w:rFonts w:hAnsi="宋体"/>
          <w:szCs w:val="21"/>
        </w:rPr>
        <w:t>）操作风险是</w:t>
      </w:r>
      <w:proofErr w:type="gramStart"/>
      <w:r>
        <w:rPr>
          <w:rFonts w:hAnsi="宋体"/>
          <w:szCs w:val="21"/>
        </w:rPr>
        <w:t>指相关</w:t>
      </w:r>
      <w:proofErr w:type="gramEnd"/>
      <w:r>
        <w:rPr>
          <w:rFonts w:hAnsi="宋体"/>
          <w:szCs w:val="21"/>
        </w:rPr>
        <w:t>各方在业务操作过程中，因操作失误或违反操作规程而引起的</w:t>
      </w:r>
      <w:r>
        <w:rPr>
          <w:rFonts w:hAnsi="宋体"/>
          <w:szCs w:val="21"/>
        </w:rPr>
        <w:t xml:space="preserve"> </w:t>
      </w:r>
      <w:r>
        <w:rPr>
          <w:rFonts w:hAnsi="宋体"/>
          <w:szCs w:val="21"/>
        </w:rPr>
        <w:t>风险。</w:t>
      </w:r>
      <w:r>
        <w:rPr>
          <w:rFonts w:hAnsi="宋体"/>
          <w:szCs w:val="21"/>
        </w:rPr>
        <w:t xml:space="preserve"> </w:t>
      </w:r>
    </w:p>
    <w:p w14:paraId="18A73AC0" w14:textId="77777777" w:rsidR="00706097" w:rsidRDefault="00DA6858">
      <w:pPr>
        <w:snapToGrid w:val="0"/>
        <w:spacing w:line="360" w:lineRule="auto"/>
        <w:ind w:firstLineChars="200" w:firstLine="420"/>
        <w:rPr>
          <w:rFonts w:hAnsi="宋体"/>
          <w:szCs w:val="21"/>
        </w:rPr>
      </w:pPr>
      <w:r>
        <w:rPr>
          <w:rFonts w:hAnsi="宋体"/>
          <w:szCs w:val="21"/>
        </w:rPr>
        <w:t>（</w:t>
      </w:r>
      <w:r>
        <w:rPr>
          <w:rFonts w:hAnsi="宋体"/>
          <w:szCs w:val="21"/>
        </w:rPr>
        <w:t>6</w:t>
      </w:r>
      <w:r>
        <w:rPr>
          <w:rFonts w:hAnsi="宋体"/>
          <w:szCs w:val="21"/>
        </w:rPr>
        <w:t>）法律风险是指因资产支持证券交易结构较为复杂、参与方较多、交易文件较多，</w:t>
      </w:r>
      <w:r>
        <w:rPr>
          <w:rFonts w:hAnsi="宋体"/>
          <w:szCs w:val="21"/>
        </w:rPr>
        <w:t xml:space="preserve"> </w:t>
      </w:r>
      <w:r>
        <w:rPr>
          <w:rFonts w:hAnsi="宋体"/>
          <w:szCs w:val="21"/>
        </w:rPr>
        <w:t>而存在的法律风险和履约风险。</w:t>
      </w:r>
      <w:r>
        <w:rPr>
          <w:rFonts w:hAnsi="宋体"/>
          <w:szCs w:val="21"/>
        </w:rPr>
        <w:t xml:space="preserve"> </w:t>
      </w:r>
    </w:p>
    <w:p w14:paraId="6285A6F3" w14:textId="77777777" w:rsidR="00706097" w:rsidRDefault="00DA6858">
      <w:pPr>
        <w:pStyle w:val="34"/>
        <w:snapToGrid w:val="0"/>
        <w:spacing w:line="360" w:lineRule="auto"/>
        <w:ind w:firstLineChars="200" w:firstLine="420"/>
        <w:rPr>
          <w:rFonts w:ascii="Times New Roman" w:hAnsi="宋体" w:hint="default"/>
          <w:sz w:val="21"/>
          <w:szCs w:val="21"/>
        </w:rPr>
      </w:pPr>
      <w:r>
        <w:rPr>
          <w:rFonts w:hAnsi="宋体" w:hint="default"/>
          <w:sz w:val="21"/>
          <w:szCs w:val="21"/>
        </w:rPr>
        <w:t>3</w:t>
      </w:r>
      <w:r>
        <w:rPr>
          <w:rFonts w:hAnsi="宋体"/>
          <w:sz w:val="21"/>
          <w:szCs w:val="21"/>
        </w:rPr>
        <w:t>、流</w:t>
      </w:r>
      <w:r>
        <w:rPr>
          <w:rFonts w:ascii="Times New Roman" w:hAnsi="宋体"/>
          <w:sz w:val="21"/>
          <w:szCs w:val="21"/>
        </w:rPr>
        <w:t>动性风险评估</w:t>
      </w:r>
    </w:p>
    <w:p w14:paraId="3C6291E4"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（1）本基金的申购、赎回安排</w:t>
      </w:r>
    </w:p>
    <w:p w14:paraId="2C83BAF6"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本基金采用开放方式运作，基金管理人在开放日办理基金份额的申购和赎回，具体办理时间为上海证券交易所、深圳证券交易所的正常交易日的交易时间，但基金管理人根据法律法规、中国证监会的要求或基金合同的规定公告暂停申购、赎回时除外。基金管理人自基金合同生效之日起不超过3个月开始办理申购和赎回业务，具体业务办理时间在申购赎回开始公告中规定。</w:t>
      </w:r>
    </w:p>
    <w:p w14:paraId="54A82EC1"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（2）投资市场、行业及资产的流动性风险评估</w:t>
      </w:r>
    </w:p>
    <w:p w14:paraId="53169594"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本基金的投资标的均在证监会及相关法律法规规定的合法范围之内，且具备良好的可投资性和流动性。本基金的投资范围的设定合理、明确，操作性较强。本基金债券投资占基金资产的比例不低于8</w:t>
      </w:r>
      <w:r>
        <w:rPr>
          <w:rFonts w:hAnsi="宋体" w:hint="default"/>
          <w:sz w:val="21"/>
          <w:szCs w:val="21"/>
        </w:rPr>
        <w:t>0%</w:t>
      </w:r>
      <w:r>
        <w:rPr>
          <w:rFonts w:hAnsi="宋体"/>
          <w:sz w:val="21"/>
          <w:szCs w:val="21"/>
        </w:rPr>
        <w:t>，投资于短期债券的比例不低于非现金基金资产的80%。实际投资过程中，在严格控制组合风险并保持良好流动性的前提下，通过专业化研究分析，力争实现基金资产的长期稳定增值。根据《流动性风险管理规定》的相关要求，本基金会审慎评估所投资资产的流动性，并针对性制定流动性风险管理措施，因此本基金流动性风险也可以得到有效控制。</w:t>
      </w:r>
    </w:p>
    <w:p w14:paraId="24752516"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（3）巨额赎回情形下的流动性风险管理措施</w:t>
      </w:r>
    </w:p>
    <w:p w14:paraId="3D1C7A0F"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若本基金单个开放日内的基金份额净赎回申请(赎回申请份额总数加上基金转换中转出申请份额总数后扣除申购申请份额总数及基金转换中转入申请份额总数后的余额)超过前一</w:t>
      </w:r>
      <w:r>
        <w:rPr>
          <w:rFonts w:hAnsi="宋体"/>
          <w:sz w:val="21"/>
          <w:szCs w:val="21"/>
        </w:rPr>
        <w:lastRenderedPageBreak/>
        <w:t>开放日的基金总份额的10%，即认为是发生了巨额赎回。当基金出现巨额赎回时，基金管理人可以根据基金当时的资产组合状况决定全额赎回或部分延期赎回。连续2个开放日以上(含本数)发生巨额赎回，如基金管理人认为有必要，可暂停接受基金的赎回申请；已经接受的赎回申请可以延缓支付赎回款项，但不得超过20个工作日，并应当在指定媒介上进行公告。</w:t>
      </w:r>
    </w:p>
    <w:p w14:paraId="08836CB7"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当基金发生巨额赎回，在单个基金份额持有人超过基金总份额</w:t>
      </w:r>
      <w:r>
        <w:rPr>
          <w:rFonts w:ascii="宋体" w:hAnsi="宋体"/>
          <w:szCs w:val="21"/>
        </w:rPr>
        <w:t>20%</w:t>
      </w:r>
      <w:r>
        <w:rPr>
          <w:rFonts w:ascii="宋体" w:hAnsi="宋体" w:hint="eastAsia"/>
          <w:szCs w:val="21"/>
        </w:rPr>
        <w:t>以上的赎回申请情形下，基金管理人对于其超过基金总份额</w:t>
      </w:r>
      <w:r>
        <w:rPr>
          <w:rFonts w:ascii="宋体" w:hAnsi="宋体"/>
          <w:szCs w:val="21"/>
        </w:rPr>
        <w:t>20%</w:t>
      </w:r>
      <w:r>
        <w:rPr>
          <w:rFonts w:ascii="宋体" w:hAnsi="宋体" w:hint="eastAsia"/>
          <w:szCs w:val="21"/>
        </w:rPr>
        <w:t>以上部分的赎回申请，可以实施延期办理，延期的赎回申请转入下一个开放日继续赎回，直到全部赎回为止。对于该类基金份额持有人未超过上述比例的部分，基金管理人</w:t>
      </w:r>
      <w:r>
        <w:rPr>
          <w:rFonts w:ascii="宋体" w:hAnsi="宋体"/>
          <w:szCs w:val="21"/>
        </w:rPr>
        <w:t>认为有能力支付投资人的全部赎回申请时，按正常赎回程序执行</w:t>
      </w:r>
      <w:r>
        <w:rPr>
          <w:rFonts w:ascii="宋体" w:hAnsi="宋体" w:hint="eastAsia"/>
          <w:szCs w:val="21"/>
        </w:rPr>
        <w:t>；</w:t>
      </w:r>
      <w:r>
        <w:rPr>
          <w:rFonts w:ascii="宋体" w:hAnsi="宋体"/>
          <w:szCs w:val="21"/>
        </w:rPr>
        <w:t>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宋体" w:hAnsi="宋体" w:hint="eastAsia"/>
          <w:szCs w:val="21"/>
        </w:rPr>
        <w:t>10%</w:t>
      </w:r>
      <w:r>
        <w:rPr>
          <w:rFonts w:ascii="宋体" w:hAnsi="宋体"/>
          <w:szCs w:val="21"/>
        </w:rPr>
        <w:t>的前提下，可对</w:t>
      </w:r>
      <w:r>
        <w:rPr>
          <w:rFonts w:ascii="宋体" w:hAnsi="宋体" w:hint="eastAsia"/>
          <w:szCs w:val="21"/>
        </w:rPr>
        <w:t>当日的</w:t>
      </w:r>
      <w:r>
        <w:rPr>
          <w:rFonts w:ascii="宋体" w:hAnsi="宋体"/>
          <w:szCs w:val="21"/>
        </w:rPr>
        <w:t>其余赎回</w:t>
      </w:r>
      <w:proofErr w:type="gramStart"/>
      <w:r>
        <w:rPr>
          <w:rFonts w:ascii="宋体" w:hAnsi="宋体"/>
          <w:szCs w:val="21"/>
        </w:rPr>
        <w:t>申请按</w:t>
      </w:r>
      <w:proofErr w:type="gramEnd"/>
      <w:r>
        <w:rPr>
          <w:rFonts w:ascii="宋体" w:hAnsi="宋体"/>
          <w:szCs w:val="21"/>
        </w:rPr>
        <w:t>单个账户赎回申请量占赎回申请总量的比例，确定当日受理的赎回份额；对于未能赎回部分，</w:t>
      </w:r>
      <w:r>
        <w:rPr>
          <w:rFonts w:ascii="宋体" w:hAnsi="宋体" w:hint="eastAsia"/>
          <w:szCs w:val="21"/>
        </w:rPr>
        <w:t>基金管理人可对其赎回申请进行延期办理，延期的赎回申请转入下一个开放日继续赎回，直到全部赎回为止。延期的赎回申请与下一开放日赎回申请一并处理，无优先权</w:t>
      </w:r>
      <w:proofErr w:type="gramStart"/>
      <w:r>
        <w:rPr>
          <w:rFonts w:ascii="宋体" w:hAnsi="宋体" w:hint="eastAsia"/>
          <w:szCs w:val="21"/>
        </w:rPr>
        <w:t>并以下</w:t>
      </w:r>
      <w:proofErr w:type="gramEnd"/>
      <w:r>
        <w:rPr>
          <w:rFonts w:ascii="宋体" w:hAnsi="宋体" w:hint="eastAsia"/>
          <w:szCs w:val="21"/>
        </w:rPr>
        <w:t>一开放日的该类基金份额的基金份额净值为基础计算赎回金额，以此类推，直到全部赎回为止。延期部分如</w:t>
      </w:r>
      <w:r>
        <w:rPr>
          <w:rFonts w:ascii="宋体" w:hAnsi="宋体"/>
          <w:szCs w:val="21"/>
        </w:rPr>
        <w:t>选择取消赎回的，当日未获受理的部分赎回申请将被撤销。如投资人在提交赎回申请时未作明确选择，投资人未能赎回部分作自动延期赎回处理。</w:t>
      </w:r>
    </w:p>
    <w:p w14:paraId="34EE6519" w14:textId="77777777" w:rsidR="00706097" w:rsidRDefault="00DA6858">
      <w:pPr>
        <w:adjustRightInd w:val="0"/>
        <w:snapToGrid w:val="0"/>
        <w:spacing w:line="360" w:lineRule="auto"/>
        <w:ind w:firstLine="420"/>
        <w:rPr>
          <w:rFonts w:ascii="宋体" w:hAnsi="宋体"/>
          <w:szCs w:val="21"/>
        </w:rPr>
      </w:pPr>
      <w:r>
        <w:rPr>
          <w:rFonts w:ascii="宋体" w:hAnsi="宋体" w:hint="eastAsia"/>
          <w:bCs/>
          <w:szCs w:val="21"/>
        </w:rPr>
        <w:t>在不违反法律法规的前提下，基金管理人在履行适当程序后，有权根据当时市场环境调整前述比例及处理规则，并在指定媒介上进行公告。</w:t>
      </w:r>
    </w:p>
    <w:p w14:paraId="38A947E6"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（4）实施备用的流动性风险管理工具的情形、程序及对投资者的潜在影响</w:t>
      </w:r>
    </w:p>
    <w:p w14:paraId="513817E6"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本基金在面临大规模赎回的情况下有可能因为无法变现造成流动性风险。</w:t>
      </w:r>
    </w:p>
    <w:p w14:paraId="6FF9A81F"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如果出现流动性风险，基金管理人经与基金托管人协商，在确保投资者得到公平对待的前提下，可实施备用的流动性风险管理工具，包括但不限于延期办理巨额赎回申请、暂停接受赎回申请、延缓支付赎回款项、收取短期赎回费、摆动定价、暂停基金估值、基金实施</w:t>
      </w:r>
      <w:proofErr w:type="gramStart"/>
      <w:r>
        <w:rPr>
          <w:rFonts w:hAnsi="宋体"/>
          <w:sz w:val="21"/>
          <w:szCs w:val="21"/>
        </w:rPr>
        <w:t>侧袋机制</w:t>
      </w:r>
      <w:proofErr w:type="gramEnd"/>
      <w:r>
        <w:rPr>
          <w:rFonts w:hAnsi="宋体"/>
          <w:sz w:val="21"/>
          <w:szCs w:val="21"/>
        </w:rPr>
        <w:t>等，作为特定情形下基金管理人流动性风险管理的辅助措施，同时基金管理人应时刻防范可能产生的流动性风险，对流动性风险进行日常监控，保护持有人的利益。当实施备用的流动性风险管理工具时，有可能无法按合同约定的时限支付赎回款项。</w:t>
      </w:r>
    </w:p>
    <w:p w14:paraId="57B397BC" w14:textId="77777777" w:rsidR="00706097" w:rsidRDefault="00DA6858">
      <w:pPr>
        <w:pStyle w:val="34"/>
        <w:snapToGrid w:val="0"/>
        <w:spacing w:line="360" w:lineRule="auto"/>
        <w:ind w:firstLineChars="200" w:firstLine="420"/>
        <w:rPr>
          <w:rFonts w:hAnsi="宋体" w:hint="default"/>
          <w:sz w:val="21"/>
          <w:szCs w:val="21"/>
        </w:rPr>
      </w:pPr>
      <w:proofErr w:type="gramStart"/>
      <w:r>
        <w:rPr>
          <w:rFonts w:hAnsi="宋体"/>
          <w:sz w:val="21"/>
          <w:szCs w:val="21"/>
        </w:rPr>
        <w:t>侧袋机制</w:t>
      </w:r>
      <w:proofErr w:type="gramEnd"/>
      <w:r>
        <w:rPr>
          <w:rFonts w:hAnsi="宋体"/>
          <w:sz w:val="21"/>
          <w:szCs w:val="21"/>
        </w:rPr>
        <w:t>是一种流动性风险管理工具，是将特定资产分离</w:t>
      </w:r>
      <w:proofErr w:type="gramStart"/>
      <w:r>
        <w:rPr>
          <w:rFonts w:hAnsi="宋体"/>
          <w:sz w:val="21"/>
          <w:szCs w:val="21"/>
        </w:rPr>
        <w:t>至专门的侧袋</w:t>
      </w:r>
      <w:proofErr w:type="gramEnd"/>
      <w:r>
        <w:rPr>
          <w:rFonts w:hAnsi="宋体"/>
          <w:sz w:val="21"/>
          <w:szCs w:val="21"/>
        </w:rPr>
        <w:t>账户进行处置清算，并以处置变现后的款项向基金份额持有人进行支付，目的在于有效隔离并化解风险。但基金启用</w:t>
      </w:r>
      <w:proofErr w:type="gramStart"/>
      <w:r>
        <w:rPr>
          <w:rFonts w:hAnsi="宋体"/>
          <w:sz w:val="21"/>
          <w:szCs w:val="21"/>
        </w:rPr>
        <w:t>侧袋机制</w:t>
      </w:r>
      <w:proofErr w:type="gramEnd"/>
      <w:r>
        <w:rPr>
          <w:rFonts w:hAnsi="宋体"/>
          <w:sz w:val="21"/>
          <w:szCs w:val="21"/>
        </w:rPr>
        <w:t>后，</w:t>
      </w:r>
      <w:proofErr w:type="gramStart"/>
      <w:r>
        <w:rPr>
          <w:rFonts w:hAnsi="宋体"/>
          <w:sz w:val="21"/>
          <w:szCs w:val="21"/>
        </w:rPr>
        <w:t>侧袋账户</w:t>
      </w:r>
      <w:proofErr w:type="gramEnd"/>
      <w:r>
        <w:rPr>
          <w:rFonts w:hAnsi="宋体"/>
          <w:sz w:val="21"/>
          <w:szCs w:val="21"/>
        </w:rPr>
        <w:t>份额将停止披露基金份额净值，并不得办理申购、赎回和转换，</w:t>
      </w:r>
      <w:proofErr w:type="gramStart"/>
      <w:r>
        <w:rPr>
          <w:rFonts w:hAnsi="宋体"/>
          <w:sz w:val="21"/>
          <w:szCs w:val="21"/>
        </w:rPr>
        <w:t>仅主袋</w:t>
      </w:r>
      <w:proofErr w:type="gramEnd"/>
      <w:r>
        <w:rPr>
          <w:rFonts w:hAnsi="宋体"/>
          <w:sz w:val="21"/>
          <w:szCs w:val="21"/>
        </w:rPr>
        <w:t>账户份额正常开放赎回，因此启用</w:t>
      </w:r>
      <w:proofErr w:type="gramStart"/>
      <w:r>
        <w:rPr>
          <w:rFonts w:hAnsi="宋体"/>
          <w:sz w:val="21"/>
          <w:szCs w:val="21"/>
        </w:rPr>
        <w:t>侧袋机制</w:t>
      </w:r>
      <w:proofErr w:type="gramEnd"/>
      <w:r>
        <w:rPr>
          <w:rFonts w:hAnsi="宋体"/>
          <w:sz w:val="21"/>
          <w:szCs w:val="21"/>
        </w:rPr>
        <w:t>时持有基金份额的持有人将在启用</w:t>
      </w:r>
      <w:proofErr w:type="gramStart"/>
      <w:r>
        <w:rPr>
          <w:rFonts w:hAnsi="宋体"/>
          <w:sz w:val="21"/>
          <w:szCs w:val="21"/>
        </w:rPr>
        <w:t>侧袋机制</w:t>
      </w:r>
      <w:proofErr w:type="gramEnd"/>
      <w:r>
        <w:rPr>
          <w:rFonts w:hAnsi="宋体"/>
          <w:sz w:val="21"/>
          <w:szCs w:val="21"/>
        </w:rPr>
        <w:t>后同时</w:t>
      </w:r>
      <w:proofErr w:type="gramStart"/>
      <w:r>
        <w:rPr>
          <w:rFonts w:hAnsi="宋体"/>
          <w:sz w:val="21"/>
          <w:szCs w:val="21"/>
        </w:rPr>
        <w:t>持有主袋账户</w:t>
      </w:r>
      <w:proofErr w:type="gramEnd"/>
      <w:r>
        <w:rPr>
          <w:rFonts w:hAnsi="宋体"/>
          <w:sz w:val="21"/>
          <w:szCs w:val="21"/>
        </w:rPr>
        <w:t>份额和</w:t>
      </w:r>
      <w:proofErr w:type="gramStart"/>
      <w:r>
        <w:rPr>
          <w:rFonts w:hAnsi="宋体"/>
          <w:sz w:val="21"/>
          <w:szCs w:val="21"/>
        </w:rPr>
        <w:t>侧袋</w:t>
      </w:r>
      <w:proofErr w:type="gramEnd"/>
      <w:r>
        <w:rPr>
          <w:rFonts w:hAnsi="宋体"/>
          <w:sz w:val="21"/>
          <w:szCs w:val="21"/>
        </w:rPr>
        <w:t>账户份额，</w:t>
      </w:r>
      <w:proofErr w:type="gramStart"/>
      <w:r>
        <w:rPr>
          <w:rFonts w:hAnsi="宋体"/>
          <w:sz w:val="21"/>
          <w:szCs w:val="21"/>
        </w:rPr>
        <w:t>侧袋账户</w:t>
      </w:r>
      <w:proofErr w:type="gramEnd"/>
      <w:r>
        <w:rPr>
          <w:rFonts w:hAnsi="宋体"/>
          <w:sz w:val="21"/>
          <w:szCs w:val="21"/>
        </w:rPr>
        <w:t>份额不能赎回，其对应特定资产的变现时间具有不确定性，最终变现价格也具有不确定性并且有可能大幅低于启用</w:t>
      </w:r>
      <w:proofErr w:type="gramStart"/>
      <w:r>
        <w:rPr>
          <w:rFonts w:hAnsi="宋体"/>
          <w:sz w:val="21"/>
          <w:szCs w:val="21"/>
        </w:rPr>
        <w:t>侧袋机制</w:t>
      </w:r>
      <w:proofErr w:type="gramEnd"/>
      <w:r>
        <w:rPr>
          <w:rFonts w:hAnsi="宋体"/>
          <w:sz w:val="21"/>
          <w:szCs w:val="21"/>
        </w:rPr>
        <w:lastRenderedPageBreak/>
        <w:t>时的特定资产的估值，基金份额持有人可能因此面临损失。</w:t>
      </w:r>
    </w:p>
    <w:p w14:paraId="1FD0E57C"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实施</w:t>
      </w:r>
      <w:proofErr w:type="gramStart"/>
      <w:r>
        <w:rPr>
          <w:rFonts w:hAnsi="宋体"/>
          <w:sz w:val="21"/>
          <w:szCs w:val="21"/>
        </w:rPr>
        <w:t>侧袋机制</w:t>
      </w:r>
      <w:proofErr w:type="gramEnd"/>
      <w:r>
        <w:rPr>
          <w:rFonts w:hAnsi="宋体"/>
          <w:sz w:val="21"/>
          <w:szCs w:val="21"/>
        </w:rPr>
        <w:t>期间，因本基金不</w:t>
      </w:r>
      <w:proofErr w:type="gramStart"/>
      <w:r>
        <w:rPr>
          <w:rFonts w:hAnsi="宋体"/>
          <w:sz w:val="21"/>
          <w:szCs w:val="21"/>
        </w:rPr>
        <w:t>披露侧袋账户</w:t>
      </w:r>
      <w:proofErr w:type="gramEnd"/>
      <w:r>
        <w:rPr>
          <w:rFonts w:hAnsi="宋体"/>
          <w:sz w:val="21"/>
          <w:szCs w:val="21"/>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2C0085E3"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基金管理人将</w:t>
      </w:r>
      <w:proofErr w:type="gramStart"/>
      <w:r>
        <w:rPr>
          <w:rFonts w:hAnsi="宋体"/>
          <w:sz w:val="21"/>
          <w:szCs w:val="21"/>
        </w:rPr>
        <w:t>根据主袋账户</w:t>
      </w:r>
      <w:proofErr w:type="gramEnd"/>
      <w:r>
        <w:rPr>
          <w:rFonts w:hAnsi="宋体"/>
          <w:sz w:val="21"/>
          <w:szCs w:val="21"/>
        </w:rPr>
        <w:t>运作情况合理确定申购政策, 因此实施</w:t>
      </w:r>
      <w:proofErr w:type="gramStart"/>
      <w:r>
        <w:rPr>
          <w:rFonts w:hAnsi="宋体"/>
          <w:sz w:val="21"/>
          <w:szCs w:val="21"/>
        </w:rPr>
        <w:t>侧袋机制</w:t>
      </w:r>
      <w:proofErr w:type="gramEnd"/>
      <w:r>
        <w:rPr>
          <w:rFonts w:hAnsi="宋体"/>
          <w:sz w:val="21"/>
          <w:szCs w:val="21"/>
        </w:rPr>
        <w:t>后主袋账户份额存在暂停申购的可能。</w:t>
      </w:r>
    </w:p>
    <w:p w14:paraId="2B1D2604" w14:textId="77777777" w:rsidR="00706097" w:rsidRDefault="00DA6858">
      <w:pPr>
        <w:pStyle w:val="34"/>
        <w:snapToGrid w:val="0"/>
        <w:spacing w:line="360" w:lineRule="auto"/>
        <w:ind w:firstLineChars="200" w:firstLine="420"/>
        <w:rPr>
          <w:rFonts w:hAnsi="宋体" w:hint="default"/>
          <w:sz w:val="21"/>
          <w:szCs w:val="21"/>
        </w:rPr>
      </w:pPr>
      <w:r>
        <w:rPr>
          <w:rFonts w:hAnsi="宋体"/>
          <w:sz w:val="21"/>
          <w:szCs w:val="21"/>
        </w:rPr>
        <w:t>启用</w:t>
      </w:r>
      <w:proofErr w:type="gramStart"/>
      <w:r>
        <w:rPr>
          <w:rFonts w:hAnsi="宋体"/>
          <w:sz w:val="21"/>
          <w:szCs w:val="21"/>
        </w:rPr>
        <w:t>侧袋机制</w:t>
      </w:r>
      <w:proofErr w:type="gramEnd"/>
      <w:r>
        <w:rPr>
          <w:rFonts w:hAnsi="宋体"/>
          <w:sz w:val="21"/>
          <w:szCs w:val="21"/>
        </w:rPr>
        <w:t>后，基金管理人计算各项投资运作指标和基金业绩指标时仅需</w:t>
      </w:r>
      <w:proofErr w:type="gramStart"/>
      <w:r>
        <w:rPr>
          <w:rFonts w:hAnsi="宋体"/>
          <w:sz w:val="21"/>
          <w:szCs w:val="21"/>
        </w:rPr>
        <w:t>考虑主袋账户</w:t>
      </w:r>
      <w:proofErr w:type="gramEnd"/>
      <w:r>
        <w:rPr>
          <w:rFonts w:hAnsi="宋体"/>
          <w:sz w:val="21"/>
          <w:szCs w:val="21"/>
        </w:rPr>
        <w:t>资产，基金业绩指标应当</w:t>
      </w:r>
      <w:proofErr w:type="gramStart"/>
      <w:r>
        <w:rPr>
          <w:rFonts w:hAnsi="宋体"/>
          <w:sz w:val="21"/>
          <w:szCs w:val="21"/>
        </w:rPr>
        <w:t>以主袋账户</w:t>
      </w:r>
      <w:proofErr w:type="gramEnd"/>
      <w:r>
        <w:rPr>
          <w:rFonts w:hAnsi="宋体"/>
          <w:sz w:val="21"/>
          <w:szCs w:val="21"/>
        </w:rPr>
        <w:t>资产为基准，因此本基金披露的业绩指标不能反映特定资产的真实价值及变化情况。</w:t>
      </w:r>
    </w:p>
    <w:p w14:paraId="1848250C" w14:textId="77777777" w:rsidR="00706097" w:rsidRDefault="00DA6858">
      <w:pPr>
        <w:numPr>
          <w:ilvl w:val="12"/>
          <w:numId w:val="0"/>
        </w:numPr>
        <w:snapToGrid w:val="0"/>
        <w:spacing w:line="360" w:lineRule="auto"/>
        <w:ind w:firstLineChars="196" w:firstLine="413"/>
        <w:rPr>
          <w:rFonts w:ascii="宋体" w:hAnsi="宋体"/>
          <w:b/>
          <w:szCs w:val="21"/>
        </w:rPr>
      </w:pPr>
      <w:r>
        <w:rPr>
          <w:rFonts w:ascii="宋体" w:hAnsi="宋体" w:hint="eastAsia"/>
          <w:b/>
          <w:bCs/>
          <w:szCs w:val="21"/>
        </w:rPr>
        <w:t>四、</w:t>
      </w:r>
      <w:r>
        <w:rPr>
          <w:rFonts w:ascii="宋体" w:hAnsi="宋体" w:hint="eastAsia"/>
          <w:b/>
          <w:szCs w:val="21"/>
        </w:rPr>
        <w:t>本基金法律文件风险收益特征表述与销售机构基金风险评价可能不一致的风险</w:t>
      </w:r>
    </w:p>
    <w:p w14:paraId="22C1FCAD" w14:textId="77777777" w:rsidR="00706097" w:rsidRDefault="00DA6858">
      <w:pPr>
        <w:snapToGrid w:val="0"/>
        <w:spacing w:line="360" w:lineRule="auto"/>
        <w:ind w:firstLineChars="200" w:firstLine="420"/>
        <w:rPr>
          <w:rFonts w:ascii="宋体" w:hAnsi="宋体"/>
          <w:sz w:val="28"/>
          <w:szCs w:val="20"/>
        </w:rPr>
      </w:pPr>
      <w:r>
        <w:rPr>
          <w:rFonts w:ascii="宋体" w:hAnsi="宋体"/>
          <w:szCs w:val="21"/>
        </w:rPr>
        <w:t>本基金法律文件投资章节有关风险收益特征的表述是基于投资范围、投资比例、证券市场普遍规律等做出的概述性描述，代表了一般市场情况下本基金的长期风险收益特征。销售机构(包括基金管理人直销机构和其他销售机构)根据相关法律法规对本基金进行风险评价，不同的销售机构采用的评价方法也不同，因此销售机构的风险等级评价与基金法律文件中风险收益特征的表述可能存在不同，投资人在购买本基金时需按照销售机构的要求完成风险承受能力与本基金风险之间的匹配检验。</w:t>
      </w:r>
    </w:p>
    <w:p w14:paraId="07073EFC" w14:textId="77777777" w:rsidR="00706097" w:rsidRDefault="00706097">
      <w:pPr>
        <w:pStyle w:val="34"/>
        <w:snapToGrid w:val="0"/>
        <w:spacing w:line="360" w:lineRule="auto"/>
        <w:ind w:firstLineChars="200" w:firstLine="420"/>
        <w:rPr>
          <w:rFonts w:hAnsi="宋体" w:hint="default"/>
          <w:sz w:val="21"/>
          <w:szCs w:val="21"/>
        </w:rPr>
      </w:pPr>
    </w:p>
    <w:p w14:paraId="3C07FD9F" w14:textId="77777777" w:rsidR="00706097" w:rsidRDefault="00DA6858">
      <w:pPr>
        <w:widowControl/>
        <w:jc w:val="left"/>
        <w:rPr>
          <w:rFonts w:ascii="宋体" w:hAnsi="宋体"/>
          <w:szCs w:val="21"/>
        </w:rPr>
      </w:pPr>
      <w:r>
        <w:rPr>
          <w:rFonts w:hAnsi="宋体"/>
          <w:szCs w:val="21"/>
        </w:rPr>
        <w:br w:type="page"/>
      </w:r>
    </w:p>
    <w:p w14:paraId="19999FD2"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04" w:name="_Toc360794111"/>
      <w:bookmarkStart w:id="305" w:name="_Toc360793861"/>
      <w:bookmarkStart w:id="306" w:name="_Toc360794527"/>
      <w:bookmarkStart w:id="307" w:name="_Toc76483031"/>
      <w:bookmarkStart w:id="308" w:name="_Toc362533466"/>
      <w:bookmarkStart w:id="309" w:name="_Toc360794419"/>
      <w:bookmarkStart w:id="310" w:name="_Toc360793509"/>
      <w:bookmarkStart w:id="311" w:name="_Toc362455194"/>
      <w:r>
        <w:rPr>
          <w:rFonts w:ascii="宋体" w:eastAsia="宋体" w:hAnsi="宋体" w:hint="eastAsia"/>
        </w:rPr>
        <w:lastRenderedPageBreak/>
        <w:t>基金合同的变更、终止和基金财产的清算</w:t>
      </w:r>
      <w:bookmarkEnd w:id="304"/>
      <w:bookmarkEnd w:id="305"/>
      <w:bookmarkEnd w:id="306"/>
      <w:bookmarkEnd w:id="307"/>
      <w:bookmarkEnd w:id="308"/>
      <w:bookmarkEnd w:id="309"/>
      <w:bookmarkEnd w:id="310"/>
      <w:bookmarkEnd w:id="311"/>
    </w:p>
    <w:p w14:paraId="3594F3B6" w14:textId="77777777" w:rsidR="00706097" w:rsidRDefault="00706097">
      <w:pPr>
        <w:snapToGrid w:val="0"/>
        <w:spacing w:line="360" w:lineRule="auto"/>
        <w:ind w:firstLineChars="200" w:firstLine="420"/>
        <w:rPr>
          <w:rFonts w:ascii="宋体" w:hAnsi="宋体"/>
          <w:bCs/>
          <w:szCs w:val="21"/>
        </w:rPr>
      </w:pPr>
    </w:p>
    <w:p w14:paraId="2E565E57"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一、《基金合同》的变更</w:t>
      </w:r>
    </w:p>
    <w:p w14:paraId="426E058C" w14:textId="77777777" w:rsidR="00706097" w:rsidRDefault="00DA6858">
      <w:pPr>
        <w:adjustRightInd w:val="0"/>
        <w:snapToGrid w:val="0"/>
        <w:spacing w:line="360" w:lineRule="auto"/>
        <w:ind w:firstLine="420"/>
        <w:rPr>
          <w:rFonts w:ascii="宋体" w:hAnsi="宋体"/>
          <w:szCs w:val="21"/>
        </w:rPr>
      </w:pPr>
      <w:r>
        <w:rPr>
          <w:rFonts w:ascii="宋体" w:hAnsi="宋体"/>
          <w:szCs w:val="21"/>
        </w:rPr>
        <w:t>1、变更基金合同</w:t>
      </w:r>
      <w:r>
        <w:rPr>
          <w:rFonts w:ascii="宋体" w:hAnsi="宋体" w:hint="eastAsia"/>
          <w:szCs w:val="21"/>
        </w:rPr>
        <w:t>涉及</w:t>
      </w:r>
      <w:r>
        <w:rPr>
          <w:rFonts w:ascii="宋体" w:hAnsi="宋体"/>
          <w:szCs w:val="21"/>
        </w:rPr>
        <w:t>法律法规规定或</w:t>
      </w:r>
      <w:r>
        <w:rPr>
          <w:rFonts w:ascii="宋体" w:hAnsi="宋体" w:hint="eastAsia"/>
          <w:szCs w:val="21"/>
        </w:rPr>
        <w:t>基金</w:t>
      </w:r>
      <w:r>
        <w:rPr>
          <w:rFonts w:ascii="宋体" w:hAnsi="宋体"/>
          <w:szCs w:val="21"/>
        </w:rPr>
        <w:t>合同约定应经基金份额持有人大会决议通过的事项的，应召</w:t>
      </w:r>
      <w:proofErr w:type="gramStart"/>
      <w:r>
        <w:rPr>
          <w:rFonts w:ascii="宋体" w:hAnsi="宋体"/>
          <w:szCs w:val="21"/>
        </w:rPr>
        <w:t>开基金</w:t>
      </w:r>
      <w:proofErr w:type="gramEnd"/>
      <w:r>
        <w:rPr>
          <w:rFonts w:ascii="宋体" w:hAnsi="宋体"/>
          <w:szCs w:val="21"/>
        </w:rPr>
        <w:t>份额持有人大会决议通过。对于</w:t>
      </w:r>
      <w:r>
        <w:rPr>
          <w:rFonts w:ascii="宋体" w:hAnsi="宋体" w:hint="eastAsia"/>
          <w:szCs w:val="21"/>
        </w:rPr>
        <w:t>法律法规规定和基金合同约定</w:t>
      </w:r>
      <w:r>
        <w:rPr>
          <w:rFonts w:ascii="宋体" w:hAnsi="宋体"/>
          <w:szCs w:val="21"/>
        </w:rPr>
        <w:t>可不经基金份额持有人大会决议通过的事项，由基金管理人和基金托管人同意后变更并公告，并报中国证监会备案。</w:t>
      </w:r>
    </w:p>
    <w:p w14:paraId="11D7B2D0"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 xml:space="preserve"> </w:t>
      </w:r>
      <w:r>
        <w:rPr>
          <w:rFonts w:ascii="宋体" w:hAnsi="宋体"/>
          <w:szCs w:val="21"/>
        </w:rPr>
        <w:t>2、关于《基金合同》变更的基金份额持有人大会决议</w:t>
      </w:r>
      <w:r>
        <w:rPr>
          <w:rFonts w:ascii="宋体" w:hAnsi="宋体" w:hint="eastAsia"/>
          <w:szCs w:val="21"/>
        </w:rPr>
        <w:t>自</w:t>
      </w:r>
      <w:r>
        <w:rPr>
          <w:rFonts w:ascii="宋体" w:hAnsi="宋体"/>
          <w:szCs w:val="21"/>
        </w:rPr>
        <w:t>生效后方可执行，</w:t>
      </w:r>
      <w:proofErr w:type="gramStart"/>
      <w:r>
        <w:rPr>
          <w:rFonts w:ascii="宋体" w:hAnsi="宋体"/>
          <w:szCs w:val="21"/>
        </w:rPr>
        <w:t>自决议</w:t>
      </w:r>
      <w:proofErr w:type="gramEnd"/>
      <w:r>
        <w:rPr>
          <w:rFonts w:ascii="宋体" w:hAnsi="宋体"/>
          <w:szCs w:val="21"/>
        </w:rPr>
        <w:t>生效后</w:t>
      </w:r>
      <w:r>
        <w:rPr>
          <w:rFonts w:ascii="宋体" w:hAnsi="宋体" w:hint="eastAsia"/>
          <w:szCs w:val="21"/>
        </w:rPr>
        <w:t>两</w:t>
      </w:r>
      <w:r>
        <w:rPr>
          <w:rFonts w:ascii="宋体" w:hAnsi="宋体"/>
          <w:szCs w:val="21"/>
        </w:rPr>
        <w:t>日内在指定媒介公告。</w:t>
      </w:r>
    </w:p>
    <w:p w14:paraId="1AF39F12" w14:textId="77777777" w:rsidR="00706097" w:rsidRDefault="00706097">
      <w:pPr>
        <w:adjustRightInd w:val="0"/>
        <w:snapToGrid w:val="0"/>
        <w:spacing w:line="360" w:lineRule="auto"/>
        <w:ind w:firstLine="420"/>
        <w:rPr>
          <w:rFonts w:ascii="宋体" w:hAnsi="宋体"/>
          <w:szCs w:val="21"/>
        </w:rPr>
      </w:pPr>
    </w:p>
    <w:p w14:paraId="0F2A3049"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二、《基金合同》的终止事由</w:t>
      </w:r>
    </w:p>
    <w:p w14:paraId="608B2394" w14:textId="77777777" w:rsidR="00706097" w:rsidRDefault="00DA6858">
      <w:pPr>
        <w:adjustRightInd w:val="0"/>
        <w:snapToGrid w:val="0"/>
        <w:spacing w:line="360" w:lineRule="auto"/>
        <w:ind w:firstLine="420"/>
        <w:rPr>
          <w:rFonts w:ascii="宋体" w:hAnsi="宋体"/>
          <w:szCs w:val="21"/>
        </w:rPr>
      </w:pPr>
      <w:r>
        <w:rPr>
          <w:rFonts w:ascii="宋体" w:hAnsi="宋体"/>
          <w:szCs w:val="21"/>
        </w:rPr>
        <w:t>有下列情形之一的，</w:t>
      </w:r>
      <w:r>
        <w:rPr>
          <w:rFonts w:ascii="宋体" w:hAnsi="宋体" w:hint="eastAsia"/>
          <w:szCs w:val="21"/>
        </w:rPr>
        <w:t>经履行相关程序后，</w:t>
      </w:r>
      <w:r>
        <w:rPr>
          <w:rFonts w:ascii="宋体" w:hAnsi="宋体"/>
          <w:szCs w:val="21"/>
        </w:rPr>
        <w:t>《基金合同》应当终止：</w:t>
      </w:r>
    </w:p>
    <w:p w14:paraId="54E0D468"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1、基金份额持有人大会决定终止的；</w:t>
      </w:r>
    </w:p>
    <w:p w14:paraId="50418C59"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2、基金管理人、基金托管人职责终止，在6个月内没有新基金管理人、新基金托管人承接的；</w:t>
      </w:r>
    </w:p>
    <w:p w14:paraId="7DB201C1"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3</w:t>
      </w:r>
      <w:r>
        <w:rPr>
          <w:rFonts w:ascii="宋体" w:hAnsi="宋体"/>
          <w:szCs w:val="21"/>
        </w:rPr>
        <w:t>、《基金合同》约定的其他情形；</w:t>
      </w:r>
    </w:p>
    <w:p w14:paraId="30FA37A2" w14:textId="77777777" w:rsidR="00706097" w:rsidRDefault="00DA6858">
      <w:pPr>
        <w:adjustRightInd w:val="0"/>
        <w:snapToGrid w:val="0"/>
        <w:spacing w:line="360" w:lineRule="auto"/>
        <w:ind w:firstLine="420"/>
        <w:rPr>
          <w:rFonts w:ascii="宋体" w:hAnsi="宋体"/>
          <w:szCs w:val="21"/>
        </w:rPr>
      </w:pPr>
      <w:r>
        <w:rPr>
          <w:rFonts w:ascii="宋体" w:hAnsi="宋体" w:hint="eastAsia"/>
          <w:szCs w:val="21"/>
        </w:rPr>
        <w:t>4</w:t>
      </w:r>
      <w:r>
        <w:rPr>
          <w:rFonts w:ascii="宋体" w:hAnsi="宋体"/>
          <w:szCs w:val="21"/>
        </w:rPr>
        <w:t>、相关法律法规和中国证监会规定的其他情况。</w:t>
      </w:r>
    </w:p>
    <w:p w14:paraId="0A3518B2" w14:textId="77777777" w:rsidR="00706097" w:rsidRDefault="00706097">
      <w:pPr>
        <w:adjustRightInd w:val="0"/>
        <w:snapToGrid w:val="0"/>
        <w:spacing w:line="360" w:lineRule="auto"/>
        <w:ind w:firstLine="420"/>
        <w:rPr>
          <w:rFonts w:ascii="宋体" w:hAnsi="宋体"/>
          <w:bCs/>
          <w:szCs w:val="21"/>
        </w:rPr>
      </w:pPr>
    </w:p>
    <w:p w14:paraId="32012C26"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三、基金财产的清算</w:t>
      </w:r>
    </w:p>
    <w:p w14:paraId="72076C38"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1、基金财产清算小组：自出现《基金合同》终止事由之日起30个工作日内成立清算小组，基金管理人组织基金财产清算小组并在中国证监会的监督下进行基金清算。</w:t>
      </w:r>
    </w:p>
    <w:p w14:paraId="21CF85F3" w14:textId="77777777" w:rsidR="00706097" w:rsidRDefault="00DA6858">
      <w:pPr>
        <w:adjustRightInd w:val="0"/>
        <w:snapToGrid w:val="0"/>
        <w:spacing w:line="360" w:lineRule="auto"/>
        <w:ind w:firstLine="420"/>
        <w:rPr>
          <w:rFonts w:ascii="宋体" w:hAnsi="宋体"/>
          <w:szCs w:val="21"/>
        </w:rPr>
      </w:pPr>
      <w:r>
        <w:rPr>
          <w:rFonts w:ascii="宋体" w:hAnsi="宋体"/>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31527A71" w14:textId="77777777" w:rsidR="00706097" w:rsidRDefault="00DA6858">
      <w:pPr>
        <w:adjustRightInd w:val="0"/>
        <w:snapToGrid w:val="0"/>
        <w:spacing w:line="360" w:lineRule="auto"/>
        <w:ind w:firstLine="420"/>
        <w:rPr>
          <w:rFonts w:ascii="宋体" w:hAnsi="宋体"/>
          <w:szCs w:val="21"/>
        </w:rPr>
      </w:pPr>
      <w:r>
        <w:rPr>
          <w:rFonts w:ascii="宋体" w:hAnsi="宋体"/>
          <w:szCs w:val="21"/>
        </w:rPr>
        <w:t>3、基金财产清算小组职责：基金财产清算小组负责基金财产的保管、清理、估价、变现和分配。基金财产清算小组可以依法进行必要的民事活动。</w:t>
      </w:r>
    </w:p>
    <w:p w14:paraId="44301F9C" w14:textId="77777777" w:rsidR="00706097" w:rsidRDefault="00DA6858">
      <w:pPr>
        <w:adjustRightInd w:val="0"/>
        <w:snapToGrid w:val="0"/>
        <w:spacing w:line="360" w:lineRule="auto"/>
        <w:ind w:firstLine="420"/>
        <w:rPr>
          <w:rFonts w:ascii="宋体" w:hAnsi="宋体"/>
          <w:szCs w:val="21"/>
        </w:rPr>
      </w:pPr>
      <w:r>
        <w:rPr>
          <w:rFonts w:ascii="宋体" w:hAnsi="宋体"/>
          <w:szCs w:val="21"/>
        </w:rPr>
        <w:t>4、基金财产清算程序：</w:t>
      </w:r>
    </w:p>
    <w:p w14:paraId="0539865B" w14:textId="77777777" w:rsidR="00706097" w:rsidRDefault="00DA6858">
      <w:pPr>
        <w:adjustRightInd w:val="0"/>
        <w:snapToGrid w:val="0"/>
        <w:spacing w:line="360" w:lineRule="auto"/>
        <w:ind w:firstLine="420"/>
        <w:rPr>
          <w:rFonts w:ascii="宋体" w:hAnsi="宋体"/>
          <w:szCs w:val="21"/>
        </w:rPr>
      </w:pPr>
      <w:r>
        <w:rPr>
          <w:rFonts w:ascii="宋体" w:hAnsi="宋体"/>
          <w:szCs w:val="21"/>
        </w:rPr>
        <w:t>（1）《基金合同》终止情形出现时，由基金财产清算小组统一接管基金</w:t>
      </w:r>
      <w:r>
        <w:rPr>
          <w:rFonts w:ascii="宋体" w:hAnsi="宋体" w:hint="eastAsia"/>
          <w:szCs w:val="21"/>
        </w:rPr>
        <w:t>财产</w:t>
      </w:r>
      <w:r>
        <w:rPr>
          <w:rFonts w:ascii="宋体" w:hAnsi="宋体"/>
          <w:szCs w:val="21"/>
        </w:rPr>
        <w:t>；</w:t>
      </w:r>
    </w:p>
    <w:p w14:paraId="0AE40D01" w14:textId="77777777" w:rsidR="00706097" w:rsidRDefault="00DA6858">
      <w:pPr>
        <w:adjustRightInd w:val="0"/>
        <w:snapToGrid w:val="0"/>
        <w:spacing w:line="360" w:lineRule="auto"/>
        <w:ind w:firstLine="420"/>
        <w:rPr>
          <w:rFonts w:ascii="宋体" w:hAnsi="宋体"/>
          <w:szCs w:val="21"/>
        </w:rPr>
      </w:pPr>
      <w:r>
        <w:rPr>
          <w:rFonts w:ascii="宋体" w:hAnsi="宋体"/>
          <w:szCs w:val="21"/>
        </w:rPr>
        <w:t>（2）对基金财产和债权债务进行清理和确认；</w:t>
      </w:r>
    </w:p>
    <w:p w14:paraId="69D39ED3" w14:textId="77777777" w:rsidR="00706097" w:rsidRDefault="00DA6858">
      <w:pPr>
        <w:adjustRightInd w:val="0"/>
        <w:snapToGrid w:val="0"/>
        <w:spacing w:line="360" w:lineRule="auto"/>
        <w:ind w:firstLine="420"/>
        <w:rPr>
          <w:rFonts w:ascii="宋体" w:hAnsi="宋体"/>
          <w:szCs w:val="21"/>
        </w:rPr>
      </w:pPr>
      <w:r>
        <w:rPr>
          <w:rFonts w:ascii="宋体" w:hAnsi="宋体"/>
          <w:szCs w:val="21"/>
        </w:rPr>
        <w:t>（3）对基金财产进行估值和变现；</w:t>
      </w:r>
    </w:p>
    <w:p w14:paraId="7680FF15" w14:textId="77777777" w:rsidR="00706097" w:rsidRDefault="00DA6858">
      <w:pPr>
        <w:adjustRightInd w:val="0"/>
        <w:snapToGrid w:val="0"/>
        <w:spacing w:line="360" w:lineRule="auto"/>
        <w:ind w:firstLine="420"/>
        <w:rPr>
          <w:rFonts w:ascii="宋体" w:hAnsi="宋体"/>
          <w:szCs w:val="21"/>
        </w:rPr>
      </w:pPr>
      <w:r>
        <w:rPr>
          <w:rFonts w:ascii="宋体" w:hAnsi="宋体"/>
          <w:szCs w:val="21"/>
        </w:rPr>
        <w:t>（4）制作清算报告；</w:t>
      </w:r>
    </w:p>
    <w:p w14:paraId="4DC6C130" w14:textId="77777777" w:rsidR="00706097" w:rsidRDefault="00DA6858">
      <w:pPr>
        <w:adjustRightInd w:val="0"/>
        <w:snapToGrid w:val="0"/>
        <w:spacing w:line="360" w:lineRule="auto"/>
        <w:ind w:firstLine="420"/>
        <w:rPr>
          <w:rFonts w:ascii="宋体" w:hAnsi="宋体"/>
          <w:szCs w:val="21"/>
        </w:rPr>
      </w:pPr>
      <w:r>
        <w:rPr>
          <w:rFonts w:ascii="宋体" w:hAnsi="宋体"/>
          <w:szCs w:val="21"/>
        </w:rPr>
        <w:t>（5）聘请会计师事务所对清算报告进行外部审计，聘请律师事务所对清算报告出具法律意见书；</w:t>
      </w:r>
    </w:p>
    <w:p w14:paraId="5CEE3251" w14:textId="77777777" w:rsidR="00706097" w:rsidRDefault="00DA6858">
      <w:pPr>
        <w:adjustRightInd w:val="0"/>
        <w:snapToGrid w:val="0"/>
        <w:spacing w:line="360" w:lineRule="auto"/>
        <w:ind w:firstLine="420"/>
        <w:rPr>
          <w:rFonts w:ascii="宋体" w:hAnsi="宋体"/>
          <w:szCs w:val="21"/>
        </w:rPr>
      </w:pPr>
      <w:r>
        <w:rPr>
          <w:rFonts w:ascii="宋体" w:hAnsi="宋体"/>
          <w:szCs w:val="21"/>
        </w:rPr>
        <w:lastRenderedPageBreak/>
        <w:t>（6）将清算报告报中国证监会备案并公告</w:t>
      </w:r>
      <w:r>
        <w:rPr>
          <w:rFonts w:ascii="宋体" w:hAnsi="宋体" w:hint="eastAsia"/>
          <w:szCs w:val="21"/>
        </w:rPr>
        <w:t>；</w:t>
      </w:r>
    </w:p>
    <w:p w14:paraId="390D2C23" w14:textId="77777777" w:rsidR="00706097" w:rsidRDefault="00DA6858">
      <w:pPr>
        <w:adjustRightInd w:val="0"/>
        <w:snapToGrid w:val="0"/>
        <w:spacing w:line="360" w:lineRule="auto"/>
        <w:ind w:firstLine="420"/>
        <w:rPr>
          <w:rFonts w:ascii="宋体" w:hAnsi="宋体"/>
          <w:szCs w:val="21"/>
        </w:rPr>
      </w:pPr>
      <w:r>
        <w:rPr>
          <w:rFonts w:ascii="宋体" w:hAnsi="宋体"/>
          <w:szCs w:val="21"/>
        </w:rPr>
        <w:t>（7）对基金</w:t>
      </w:r>
      <w:r>
        <w:rPr>
          <w:rFonts w:ascii="宋体" w:hAnsi="宋体" w:hint="eastAsia"/>
          <w:szCs w:val="21"/>
        </w:rPr>
        <w:t>剩余</w:t>
      </w:r>
      <w:r>
        <w:rPr>
          <w:rFonts w:ascii="宋体" w:hAnsi="宋体"/>
          <w:szCs w:val="21"/>
        </w:rPr>
        <w:t>财产进行分配</w:t>
      </w:r>
      <w:r>
        <w:rPr>
          <w:rFonts w:ascii="宋体" w:hAnsi="宋体" w:hint="eastAsia"/>
          <w:szCs w:val="21"/>
        </w:rPr>
        <w:t>。</w:t>
      </w:r>
    </w:p>
    <w:p w14:paraId="496304F8" w14:textId="77777777" w:rsidR="00706097" w:rsidRDefault="00DA6858">
      <w:pPr>
        <w:adjustRightInd w:val="0"/>
        <w:snapToGrid w:val="0"/>
        <w:spacing w:line="360" w:lineRule="auto"/>
        <w:ind w:firstLine="420"/>
        <w:rPr>
          <w:rFonts w:ascii="宋体" w:hAnsi="宋体"/>
          <w:szCs w:val="21"/>
        </w:rPr>
      </w:pPr>
      <w:r>
        <w:rPr>
          <w:rFonts w:ascii="宋体" w:hAnsi="宋体"/>
          <w:szCs w:val="21"/>
        </w:rPr>
        <w:t>5、基金财产清算的期限为</w:t>
      </w:r>
      <w:r>
        <w:rPr>
          <w:rFonts w:ascii="宋体" w:hAnsi="宋体" w:hint="eastAsia"/>
          <w:szCs w:val="21"/>
        </w:rPr>
        <w:t>6</w:t>
      </w:r>
      <w:r>
        <w:rPr>
          <w:rFonts w:ascii="宋体" w:hAnsi="宋体"/>
          <w:szCs w:val="21"/>
        </w:rPr>
        <w:t>个月</w:t>
      </w:r>
      <w:r>
        <w:rPr>
          <w:rFonts w:ascii="宋体" w:hAnsi="宋体"/>
          <w:bCs/>
          <w:szCs w:val="21"/>
        </w:rPr>
        <w:t>，但因本基金所持证券的流动性受到限制而不能及时变现的，清算期限相应顺延</w:t>
      </w:r>
      <w:r>
        <w:rPr>
          <w:rFonts w:ascii="宋体" w:hAnsi="宋体"/>
          <w:szCs w:val="21"/>
        </w:rPr>
        <w:t>。</w:t>
      </w:r>
    </w:p>
    <w:p w14:paraId="76C27828" w14:textId="77777777" w:rsidR="00706097" w:rsidRDefault="00706097">
      <w:pPr>
        <w:adjustRightInd w:val="0"/>
        <w:snapToGrid w:val="0"/>
        <w:spacing w:line="360" w:lineRule="auto"/>
        <w:ind w:firstLine="420"/>
        <w:rPr>
          <w:rFonts w:ascii="宋体" w:hAnsi="宋体"/>
          <w:bCs/>
          <w:szCs w:val="21"/>
        </w:rPr>
      </w:pPr>
    </w:p>
    <w:p w14:paraId="1D887D1C"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四、清算费用</w:t>
      </w:r>
    </w:p>
    <w:p w14:paraId="18346847" w14:textId="77777777" w:rsidR="00706097" w:rsidRDefault="00DA6858">
      <w:pPr>
        <w:adjustRightInd w:val="0"/>
        <w:snapToGrid w:val="0"/>
        <w:spacing w:line="360" w:lineRule="auto"/>
        <w:ind w:firstLine="420"/>
        <w:rPr>
          <w:rFonts w:ascii="宋体" w:hAnsi="宋体"/>
          <w:szCs w:val="21"/>
        </w:rPr>
      </w:pPr>
      <w:r>
        <w:rPr>
          <w:rFonts w:ascii="宋体" w:hAnsi="宋体"/>
          <w:szCs w:val="21"/>
        </w:rPr>
        <w:t>清算费用是指基金财产清算小组在进行基金清算过程中发生的所有合理费用，清算费用由基金财产清算小组优先从基金财产中支付。</w:t>
      </w:r>
    </w:p>
    <w:p w14:paraId="2D911BC0" w14:textId="77777777" w:rsidR="00706097" w:rsidRDefault="00706097">
      <w:pPr>
        <w:adjustRightInd w:val="0"/>
        <w:snapToGrid w:val="0"/>
        <w:spacing w:line="360" w:lineRule="auto"/>
        <w:ind w:firstLine="420"/>
        <w:rPr>
          <w:rFonts w:ascii="宋体" w:hAnsi="宋体"/>
          <w:szCs w:val="21"/>
        </w:rPr>
      </w:pPr>
    </w:p>
    <w:p w14:paraId="32E251D1"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五、基金财产清算剩余资产的分配</w:t>
      </w:r>
    </w:p>
    <w:p w14:paraId="2F699A31" w14:textId="77777777" w:rsidR="00706097" w:rsidRDefault="00DA6858">
      <w:pPr>
        <w:adjustRightInd w:val="0"/>
        <w:snapToGrid w:val="0"/>
        <w:spacing w:line="360" w:lineRule="auto"/>
        <w:ind w:firstLine="420"/>
        <w:rPr>
          <w:rFonts w:ascii="宋体" w:hAnsi="宋体"/>
          <w:szCs w:val="21"/>
        </w:rPr>
      </w:pPr>
      <w:r>
        <w:rPr>
          <w:rFonts w:ascii="宋体" w:hAnsi="宋体"/>
          <w:szCs w:val="21"/>
        </w:rPr>
        <w:t>依据基金财产清算的分配方案，将基金财产清算后的全部剩余资产扣除基金财产清算费用、交纳所欠税款并清偿基金债务后，按基金份额持有人持有的基金份额比例进行分配。</w:t>
      </w:r>
    </w:p>
    <w:p w14:paraId="014D066C" w14:textId="77777777" w:rsidR="00706097" w:rsidRDefault="00706097">
      <w:pPr>
        <w:adjustRightInd w:val="0"/>
        <w:snapToGrid w:val="0"/>
        <w:spacing w:line="360" w:lineRule="auto"/>
        <w:ind w:firstLine="420"/>
        <w:rPr>
          <w:rFonts w:ascii="宋体" w:hAnsi="宋体"/>
          <w:szCs w:val="21"/>
        </w:rPr>
      </w:pPr>
    </w:p>
    <w:p w14:paraId="02FC0EB1"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六、基金财产清算的公告</w:t>
      </w:r>
    </w:p>
    <w:p w14:paraId="1ACC4B49" w14:textId="77777777" w:rsidR="00706097" w:rsidRDefault="00DA6858">
      <w:pPr>
        <w:adjustRightInd w:val="0"/>
        <w:snapToGrid w:val="0"/>
        <w:spacing w:line="360" w:lineRule="auto"/>
        <w:ind w:firstLine="420"/>
        <w:rPr>
          <w:rFonts w:ascii="宋体" w:hAnsi="宋体"/>
          <w:szCs w:val="21"/>
        </w:rPr>
      </w:pPr>
      <w:r>
        <w:rPr>
          <w:rFonts w:ascii="宋体" w:hAnsi="宋体"/>
          <w:szCs w:val="21"/>
        </w:rPr>
        <w:t>清算过程中的有关重大事项须及时公告；基金财产清算报告经</w:t>
      </w:r>
      <w:r>
        <w:rPr>
          <w:rFonts w:ascii="宋体" w:hAnsi="宋体" w:hint="eastAsia"/>
          <w:szCs w:val="21"/>
        </w:rPr>
        <w:t>具有证券、期货相关业务资格的</w:t>
      </w:r>
      <w:r>
        <w:rPr>
          <w:rFonts w:ascii="宋体" w:hAnsi="宋体"/>
          <w:szCs w:val="21"/>
        </w:rPr>
        <w:t>会计师事务所审计并由律师事务所出具法律意见书后报中国证监会备案并公告。基金财产清算公告于基金财产清算报告报中国证监会备案后</w:t>
      </w:r>
      <w:r>
        <w:rPr>
          <w:rFonts w:ascii="宋体" w:hAnsi="宋体" w:hint="eastAsia"/>
          <w:szCs w:val="21"/>
        </w:rPr>
        <w:t>5</w:t>
      </w:r>
      <w:r>
        <w:rPr>
          <w:rFonts w:ascii="宋体" w:hAnsi="宋体"/>
          <w:szCs w:val="21"/>
        </w:rPr>
        <w:t>个工作日内由基金财产清算小组进行公告</w:t>
      </w:r>
      <w:r>
        <w:rPr>
          <w:rFonts w:ascii="宋体" w:hAnsi="宋体" w:hint="eastAsia"/>
          <w:bCs/>
          <w:szCs w:val="21"/>
        </w:rPr>
        <w:t>，基金财产清算小组应当将清算报告登载在指定网站上，并将清算报告提示性公告登载在指定报刊上</w:t>
      </w:r>
      <w:r>
        <w:rPr>
          <w:rFonts w:ascii="宋体" w:hAnsi="宋体"/>
          <w:szCs w:val="21"/>
        </w:rPr>
        <w:t>。</w:t>
      </w:r>
    </w:p>
    <w:p w14:paraId="2A70EA3A" w14:textId="77777777" w:rsidR="00706097" w:rsidRDefault="00706097">
      <w:pPr>
        <w:adjustRightInd w:val="0"/>
        <w:snapToGrid w:val="0"/>
        <w:spacing w:line="360" w:lineRule="auto"/>
        <w:ind w:firstLine="420"/>
        <w:rPr>
          <w:rFonts w:ascii="宋体" w:hAnsi="宋体"/>
          <w:szCs w:val="21"/>
        </w:rPr>
      </w:pPr>
    </w:p>
    <w:p w14:paraId="48D66ED3" w14:textId="77777777" w:rsidR="00706097" w:rsidRDefault="00DA6858">
      <w:pPr>
        <w:adjustRightInd w:val="0"/>
        <w:snapToGrid w:val="0"/>
        <w:spacing w:line="360" w:lineRule="auto"/>
        <w:ind w:firstLineChars="200" w:firstLine="422"/>
        <w:rPr>
          <w:rFonts w:ascii="宋体" w:hAnsi="宋体"/>
          <w:b/>
          <w:szCs w:val="21"/>
        </w:rPr>
      </w:pPr>
      <w:r>
        <w:rPr>
          <w:rFonts w:ascii="宋体" w:hAnsi="宋体"/>
          <w:b/>
          <w:szCs w:val="21"/>
        </w:rPr>
        <w:t>七、基金财产清算账册及文件的保存</w:t>
      </w:r>
    </w:p>
    <w:p w14:paraId="65667C3D" w14:textId="77777777" w:rsidR="00706097" w:rsidRDefault="00DA6858">
      <w:pPr>
        <w:adjustRightInd w:val="0"/>
        <w:snapToGrid w:val="0"/>
        <w:spacing w:line="360" w:lineRule="auto"/>
        <w:ind w:firstLineChars="200" w:firstLine="420"/>
        <w:rPr>
          <w:bCs/>
          <w:szCs w:val="21"/>
        </w:rPr>
      </w:pPr>
      <w:r>
        <w:rPr>
          <w:rFonts w:ascii="宋体" w:hAnsi="宋体"/>
          <w:szCs w:val="21"/>
        </w:rPr>
        <w:t>基金财产清算账册及有关文件由基金托管人保存</w:t>
      </w:r>
      <w:r>
        <w:rPr>
          <w:rFonts w:ascii="宋体" w:hAnsi="宋体" w:hint="eastAsia"/>
          <w:szCs w:val="21"/>
        </w:rPr>
        <w:t>15</w:t>
      </w:r>
      <w:r>
        <w:rPr>
          <w:rFonts w:ascii="宋体" w:hAnsi="宋体"/>
          <w:szCs w:val="21"/>
        </w:rPr>
        <w:t>年以上。</w:t>
      </w:r>
    </w:p>
    <w:p w14:paraId="27B921C1" w14:textId="77777777" w:rsidR="00706097" w:rsidRDefault="00706097">
      <w:pPr>
        <w:snapToGrid w:val="0"/>
        <w:spacing w:line="360" w:lineRule="auto"/>
        <w:ind w:firstLineChars="200" w:firstLine="420"/>
        <w:rPr>
          <w:rFonts w:ascii="宋体" w:hAnsi="宋体"/>
          <w:bCs/>
          <w:szCs w:val="21"/>
        </w:rPr>
      </w:pPr>
    </w:p>
    <w:p w14:paraId="0450AAAE" w14:textId="77777777" w:rsidR="00706097" w:rsidRDefault="00DA6858">
      <w:pPr>
        <w:snapToGrid w:val="0"/>
        <w:spacing w:line="360" w:lineRule="auto"/>
        <w:ind w:firstLineChars="200" w:firstLine="480"/>
        <w:rPr>
          <w:rFonts w:ascii="宋体" w:hAnsi="宋体"/>
        </w:rPr>
      </w:pPr>
      <w:r>
        <w:rPr>
          <w:rFonts w:ascii="宋体" w:hAnsi="宋体"/>
          <w:kern w:val="0"/>
          <w:sz w:val="24"/>
        </w:rPr>
        <w:br w:type="page"/>
      </w:r>
    </w:p>
    <w:p w14:paraId="25B08637"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12" w:name="_Toc360794112"/>
      <w:bookmarkStart w:id="313" w:name="_Toc362533467"/>
      <w:bookmarkStart w:id="314" w:name="_Toc360793510"/>
      <w:bookmarkStart w:id="315" w:name="_Toc76483032"/>
      <w:bookmarkStart w:id="316" w:name="_Toc360794528"/>
      <w:bookmarkStart w:id="317" w:name="_Toc360794420"/>
      <w:bookmarkStart w:id="318" w:name="_Toc360793862"/>
      <w:bookmarkStart w:id="319" w:name="_Toc362455195"/>
      <w:r>
        <w:rPr>
          <w:rFonts w:ascii="宋体" w:eastAsia="宋体" w:hAnsi="宋体" w:hint="eastAsia"/>
        </w:rPr>
        <w:lastRenderedPageBreak/>
        <w:t>基金合同的内容摘要</w:t>
      </w:r>
      <w:bookmarkEnd w:id="312"/>
      <w:bookmarkEnd w:id="313"/>
      <w:bookmarkEnd w:id="314"/>
      <w:bookmarkEnd w:id="315"/>
      <w:bookmarkEnd w:id="316"/>
      <w:bookmarkEnd w:id="317"/>
      <w:bookmarkEnd w:id="318"/>
      <w:bookmarkEnd w:id="319"/>
    </w:p>
    <w:p w14:paraId="0019BDE2" w14:textId="77777777" w:rsidR="00706097" w:rsidRDefault="00706097">
      <w:pPr>
        <w:snapToGrid w:val="0"/>
        <w:spacing w:line="360" w:lineRule="auto"/>
      </w:pPr>
    </w:p>
    <w:p w14:paraId="769628AB" w14:textId="77777777" w:rsidR="00706097" w:rsidRDefault="00DA6858">
      <w:pPr>
        <w:snapToGrid w:val="0"/>
        <w:spacing w:line="360" w:lineRule="auto"/>
        <w:ind w:firstLineChars="200" w:firstLine="420"/>
        <w:rPr>
          <w:bCs/>
        </w:rPr>
      </w:pPr>
      <w:r>
        <w:rPr>
          <w:rFonts w:hint="eastAsia"/>
          <w:bCs/>
        </w:rPr>
        <w:t>一、基金份额持有人、基金管理人和基金托管人的权利、义务</w:t>
      </w:r>
    </w:p>
    <w:p w14:paraId="79A31058" w14:textId="77777777" w:rsidR="00706097" w:rsidRDefault="00DA6858">
      <w:pPr>
        <w:snapToGrid w:val="0"/>
        <w:spacing w:line="360" w:lineRule="auto"/>
        <w:ind w:firstLineChars="200" w:firstLine="420"/>
        <w:rPr>
          <w:bCs/>
        </w:rPr>
      </w:pPr>
      <w:r>
        <w:rPr>
          <w:rFonts w:hint="eastAsia"/>
          <w:bCs/>
        </w:rPr>
        <w:t>（一）基金份额持有人的权利、义务</w:t>
      </w:r>
    </w:p>
    <w:p w14:paraId="7FB700EB" w14:textId="77777777" w:rsidR="00706097" w:rsidRDefault="00DA6858">
      <w:pPr>
        <w:snapToGrid w:val="0"/>
        <w:spacing w:line="360" w:lineRule="auto"/>
        <w:ind w:firstLineChars="200" w:firstLine="420"/>
        <w:rPr>
          <w:bCs/>
        </w:rPr>
      </w:pPr>
      <w:r>
        <w:rPr>
          <w:rFonts w:hint="eastAsia"/>
          <w:bCs/>
        </w:rPr>
        <w:t>基金投资者持有本</w:t>
      </w:r>
      <w:proofErr w:type="gramStart"/>
      <w:r>
        <w:rPr>
          <w:rFonts w:hint="eastAsia"/>
          <w:bCs/>
        </w:rPr>
        <w:t>基金基金</w:t>
      </w:r>
      <w:proofErr w:type="gramEnd"/>
      <w:r>
        <w:rPr>
          <w:rFonts w:hint="eastAsia"/>
          <w:bCs/>
        </w:rPr>
        <w:t>份额的行为即视为对《基金合同》的承认和接受，基金投资者</w:t>
      </w:r>
      <w:proofErr w:type="gramStart"/>
      <w:r>
        <w:rPr>
          <w:rFonts w:hint="eastAsia"/>
          <w:bCs/>
        </w:rPr>
        <w:t>自依据</w:t>
      </w:r>
      <w:proofErr w:type="gramEnd"/>
      <w:r>
        <w:rPr>
          <w:rFonts w:hint="eastAsia"/>
          <w:bCs/>
        </w:rPr>
        <w:t>《基金合同》取得基金份额，即成为本基金的基金份额持有人和《基金合同》的当事人，直至其不再持有本基金的基金份额。基金份额持有人作为《基金合同》当事人并不以在《基金合同》上书面签章或签字为必要条件。</w:t>
      </w:r>
    </w:p>
    <w:p w14:paraId="2AAB2871" w14:textId="77777777" w:rsidR="00706097" w:rsidRDefault="00DA6858">
      <w:pPr>
        <w:snapToGrid w:val="0"/>
        <w:spacing w:line="360" w:lineRule="auto"/>
        <w:ind w:firstLineChars="200" w:firstLine="420"/>
        <w:rPr>
          <w:bCs/>
        </w:rPr>
      </w:pPr>
      <w:r>
        <w:rPr>
          <w:rFonts w:hint="eastAsia"/>
          <w:bCs/>
        </w:rPr>
        <w:t>同一类别每份基金份额具有同等的合法权益。</w:t>
      </w:r>
    </w:p>
    <w:p w14:paraId="033B2E47" w14:textId="77777777" w:rsidR="00706097" w:rsidRDefault="00DA6858">
      <w:pPr>
        <w:snapToGrid w:val="0"/>
        <w:spacing w:line="360" w:lineRule="auto"/>
        <w:ind w:firstLineChars="200" w:firstLine="420"/>
        <w:rPr>
          <w:bCs/>
        </w:rPr>
      </w:pPr>
      <w:r>
        <w:rPr>
          <w:rFonts w:hint="eastAsia"/>
          <w:bCs/>
        </w:rPr>
        <w:t>1</w:t>
      </w:r>
      <w:r>
        <w:rPr>
          <w:rFonts w:hint="eastAsia"/>
          <w:bCs/>
        </w:rPr>
        <w:t>、根据《基金法》、《运作办法》及其他有关规定，基金份额持有人的权利包括但不限于：</w:t>
      </w:r>
    </w:p>
    <w:p w14:paraId="106B0840"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）分享基金财产收益；</w:t>
      </w:r>
    </w:p>
    <w:p w14:paraId="75284A67"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）参与分配清算后的剩余基金财产；</w:t>
      </w:r>
    </w:p>
    <w:p w14:paraId="25BB4961"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）依法转让或者申请赎回其持有的基金份额；</w:t>
      </w:r>
    </w:p>
    <w:p w14:paraId="1CFAE0BD"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）按照规定要求召开基金份额持有人大会或者召集基金份额持有人大会；</w:t>
      </w:r>
    </w:p>
    <w:p w14:paraId="5F8C659C"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）出席或者委派代表出席基金份额持有人大会，对基金份额持有人大会审议事项行使表决权；</w:t>
      </w:r>
    </w:p>
    <w:p w14:paraId="2822FF4B"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）查阅或者复制公开披露的基金信息资料；</w:t>
      </w:r>
    </w:p>
    <w:p w14:paraId="61A8B01E"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）监督基金管理人的投资运作；</w:t>
      </w:r>
    </w:p>
    <w:p w14:paraId="1F7960DE"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）对基金管理人、基金托管人、基金服务机构损害其合法权益的行为依法提起诉讼或仲裁；</w:t>
      </w:r>
    </w:p>
    <w:p w14:paraId="0E85E2B1"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）法律法规及中国证监会规定的和《基金合同》约定的其他权利。</w:t>
      </w:r>
    </w:p>
    <w:p w14:paraId="41566310" w14:textId="77777777" w:rsidR="00706097" w:rsidRDefault="00DA6858">
      <w:pPr>
        <w:snapToGrid w:val="0"/>
        <w:spacing w:line="360" w:lineRule="auto"/>
        <w:ind w:firstLineChars="200" w:firstLine="420"/>
        <w:rPr>
          <w:bCs/>
        </w:rPr>
      </w:pPr>
      <w:r>
        <w:rPr>
          <w:rFonts w:hint="eastAsia"/>
          <w:bCs/>
        </w:rPr>
        <w:t>2</w:t>
      </w:r>
      <w:r>
        <w:rPr>
          <w:rFonts w:hint="eastAsia"/>
          <w:bCs/>
        </w:rPr>
        <w:t>、根据《基金法》、《运作办法》及其他有关规定，基金份额持有人的义务包括但不限于：</w:t>
      </w:r>
    </w:p>
    <w:p w14:paraId="2A233096"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）认真阅读并遵守《基金合同》、招募说明书等信息披露文件；</w:t>
      </w:r>
    </w:p>
    <w:p w14:paraId="230BA0D1"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）了解所投资基金产品，了解自身风险承受能力，自主判断基金的投资价值，自主做出投资决策，自行承担投资风险；</w:t>
      </w:r>
    </w:p>
    <w:p w14:paraId="10253FDB"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）关注基金信息披露，及时行使权利和履行义务；</w:t>
      </w:r>
    </w:p>
    <w:p w14:paraId="000F6471"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）交纳基金认购、申购款项及法律法规和《基金合同》所规定的费用；</w:t>
      </w:r>
    </w:p>
    <w:p w14:paraId="698CF926"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）在其持有的基金份额范围内，承担基金亏损或者《基金合同》终止的有限责任；</w:t>
      </w:r>
    </w:p>
    <w:p w14:paraId="603F0630"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）不从事任何有损基金及其他《基金合同》当事人合法权益的活动；</w:t>
      </w:r>
    </w:p>
    <w:p w14:paraId="6CDD4FAD"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）执行生效的基金份额持有人大会的决议；</w:t>
      </w:r>
    </w:p>
    <w:p w14:paraId="0146A3CD"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）返还在基金交易过程中因任何原因获得的不当得利；</w:t>
      </w:r>
    </w:p>
    <w:p w14:paraId="0E069E02"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）法律法规及中国证监会规定的和《基金合同》约定的其他义务。</w:t>
      </w:r>
    </w:p>
    <w:p w14:paraId="2EE85E7D" w14:textId="77777777" w:rsidR="00706097" w:rsidRDefault="00DA6858">
      <w:pPr>
        <w:snapToGrid w:val="0"/>
        <w:spacing w:line="360" w:lineRule="auto"/>
        <w:ind w:firstLineChars="200" w:firstLine="420"/>
        <w:rPr>
          <w:bCs/>
        </w:rPr>
      </w:pPr>
      <w:r>
        <w:rPr>
          <w:rFonts w:hint="eastAsia"/>
          <w:bCs/>
        </w:rPr>
        <w:lastRenderedPageBreak/>
        <w:t>（二）基金管理人的权利、义务</w:t>
      </w:r>
    </w:p>
    <w:p w14:paraId="237DA363" w14:textId="77777777" w:rsidR="00706097" w:rsidRDefault="00DA6858">
      <w:pPr>
        <w:snapToGrid w:val="0"/>
        <w:spacing w:line="360" w:lineRule="auto"/>
        <w:ind w:firstLineChars="200" w:firstLine="420"/>
        <w:rPr>
          <w:bCs/>
        </w:rPr>
      </w:pPr>
      <w:r>
        <w:rPr>
          <w:rFonts w:hint="eastAsia"/>
          <w:bCs/>
        </w:rPr>
        <w:t>1</w:t>
      </w:r>
      <w:r>
        <w:rPr>
          <w:rFonts w:hint="eastAsia"/>
          <w:bCs/>
        </w:rPr>
        <w:t>、根据《基金法》、《运作办法》及其他有关规定，基金管理人的权利包括但不限于：</w:t>
      </w:r>
    </w:p>
    <w:p w14:paraId="25F1D11D"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）依法募集资金；</w:t>
      </w:r>
    </w:p>
    <w:p w14:paraId="48F013F3"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）自《基金合同》生效之日起，根据法律法规和《基金合同》独立运用并管理基金财产；</w:t>
      </w:r>
    </w:p>
    <w:p w14:paraId="3D3A1B45"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）依照《基金合同》收取基金管理费以及法律法规规定或中国证监会批准的其他费用；</w:t>
      </w:r>
    </w:p>
    <w:p w14:paraId="7934FAE2"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）销售基金份额；</w:t>
      </w:r>
    </w:p>
    <w:p w14:paraId="0089A19F"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）按照规定召集基金份额持有人大会；</w:t>
      </w:r>
    </w:p>
    <w:p w14:paraId="3B0A0B6E"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）依据《基金合同》及有关法律规定监督基金托管人，如认为基金托管人违反了《基金合同》及国家有关法律规定，应呈报中国证监会和其他监管部门，并采取必要措施保护基金投资者的利益；</w:t>
      </w:r>
    </w:p>
    <w:p w14:paraId="0B655D6C"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）在基金托管人更换时，提名新的基金托管人；</w:t>
      </w:r>
    </w:p>
    <w:p w14:paraId="4ABDAABC"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）选择、更换基金销售机构，对基金销售机构的相关行为进行监督和处理；</w:t>
      </w:r>
      <w:r>
        <w:rPr>
          <w:rFonts w:hint="eastAsia"/>
          <w:bCs/>
        </w:rPr>
        <w:t xml:space="preserve"> </w:t>
      </w:r>
    </w:p>
    <w:p w14:paraId="694BD878"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）担任或委托其他符合条件的机构担任基金登记机构办理基金登记业务并获得《基金合同》规定的费用；</w:t>
      </w:r>
      <w:r>
        <w:rPr>
          <w:rFonts w:hint="eastAsia"/>
          <w:bCs/>
        </w:rPr>
        <w:t xml:space="preserve"> </w:t>
      </w:r>
    </w:p>
    <w:p w14:paraId="1DBC5C32" w14:textId="77777777" w:rsidR="00706097" w:rsidRDefault="00DA6858">
      <w:pPr>
        <w:snapToGrid w:val="0"/>
        <w:spacing w:line="360" w:lineRule="auto"/>
        <w:ind w:firstLineChars="200" w:firstLine="420"/>
        <w:rPr>
          <w:bCs/>
        </w:rPr>
      </w:pPr>
      <w:r>
        <w:rPr>
          <w:rFonts w:hint="eastAsia"/>
          <w:bCs/>
        </w:rPr>
        <w:t>（</w:t>
      </w:r>
      <w:r>
        <w:rPr>
          <w:rFonts w:hint="eastAsia"/>
          <w:bCs/>
        </w:rPr>
        <w:t>10</w:t>
      </w:r>
      <w:r>
        <w:rPr>
          <w:rFonts w:hint="eastAsia"/>
          <w:bCs/>
        </w:rPr>
        <w:t>）依据《基金合同》及有关法律规定决定基金收益的分配方案；</w:t>
      </w:r>
      <w:r>
        <w:rPr>
          <w:rFonts w:hint="eastAsia"/>
          <w:bCs/>
        </w:rPr>
        <w:tab/>
      </w:r>
    </w:p>
    <w:p w14:paraId="5E29B384" w14:textId="77777777" w:rsidR="00706097" w:rsidRDefault="00DA6858">
      <w:pPr>
        <w:snapToGrid w:val="0"/>
        <w:spacing w:line="360" w:lineRule="auto"/>
        <w:ind w:firstLineChars="200" w:firstLine="420"/>
        <w:rPr>
          <w:bCs/>
        </w:rPr>
      </w:pPr>
      <w:r>
        <w:rPr>
          <w:rFonts w:hint="eastAsia"/>
          <w:bCs/>
        </w:rPr>
        <w:t>（</w:t>
      </w:r>
      <w:r>
        <w:rPr>
          <w:rFonts w:hint="eastAsia"/>
          <w:bCs/>
        </w:rPr>
        <w:t>11</w:t>
      </w:r>
      <w:r>
        <w:rPr>
          <w:rFonts w:hint="eastAsia"/>
          <w:bCs/>
        </w:rPr>
        <w:t>）在《基金合同》约定的范围内，拒绝或暂停受理申购、赎回和转换申请；</w:t>
      </w:r>
      <w:r>
        <w:rPr>
          <w:rFonts w:hint="eastAsia"/>
          <w:bCs/>
        </w:rPr>
        <w:t xml:space="preserve"> </w:t>
      </w:r>
    </w:p>
    <w:p w14:paraId="00D8C87E" w14:textId="77777777" w:rsidR="00706097" w:rsidRDefault="00DA6858">
      <w:pPr>
        <w:snapToGrid w:val="0"/>
        <w:spacing w:line="360" w:lineRule="auto"/>
        <w:ind w:firstLineChars="200" w:firstLine="420"/>
        <w:rPr>
          <w:bCs/>
        </w:rPr>
      </w:pPr>
      <w:r>
        <w:rPr>
          <w:rFonts w:hint="eastAsia"/>
          <w:bCs/>
        </w:rPr>
        <w:t>（</w:t>
      </w:r>
      <w:r>
        <w:rPr>
          <w:rFonts w:hint="eastAsia"/>
          <w:bCs/>
        </w:rPr>
        <w:t>12</w:t>
      </w:r>
      <w:r>
        <w:rPr>
          <w:rFonts w:hint="eastAsia"/>
          <w:bCs/>
        </w:rPr>
        <w:t>）依照法律法规为基金的利益行使因基金财产投资于证券所产生的权利；</w:t>
      </w:r>
      <w:r>
        <w:rPr>
          <w:rFonts w:hint="eastAsia"/>
          <w:bCs/>
        </w:rPr>
        <w:tab/>
      </w:r>
    </w:p>
    <w:p w14:paraId="17902EB7" w14:textId="77777777" w:rsidR="00706097" w:rsidRDefault="00DA6858">
      <w:pPr>
        <w:snapToGrid w:val="0"/>
        <w:spacing w:line="360" w:lineRule="auto"/>
        <w:ind w:firstLineChars="200" w:firstLine="420"/>
        <w:rPr>
          <w:bCs/>
        </w:rPr>
      </w:pPr>
      <w:r>
        <w:rPr>
          <w:rFonts w:hint="eastAsia"/>
          <w:bCs/>
        </w:rPr>
        <w:t>（</w:t>
      </w:r>
      <w:r>
        <w:rPr>
          <w:rFonts w:hint="eastAsia"/>
          <w:bCs/>
        </w:rPr>
        <w:t>13</w:t>
      </w:r>
      <w:r>
        <w:rPr>
          <w:rFonts w:hint="eastAsia"/>
          <w:bCs/>
        </w:rPr>
        <w:t>）在法律法规允许的前提下，为基金的利益依法为基金进行融资；</w:t>
      </w:r>
      <w:r>
        <w:rPr>
          <w:rFonts w:hint="eastAsia"/>
          <w:bCs/>
        </w:rPr>
        <w:t xml:space="preserve"> </w:t>
      </w:r>
    </w:p>
    <w:p w14:paraId="115CEB04" w14:textId="77777777" w:rsidR="00706097" w:rsidRDefault="00DA6858">
      <w:pPr>
        <w:snapToGrid w:val="0"/>
        <w:spacing w:line="360" w:lineRule="auto"/>
        <w:ind w:firstLineChars="200" w:firstLine="420"/>
        <w:rPr>
          <w:bCs/>
        </w:rPr>
      </w:pPr>
      <w:r>
        <w:rPr>
          <w:rFonts w:hint="eastAsia"/>
          <w:bCs/>
        </w:rPr>
        <w:t>（</w:t>
      </w:r>
      <w:r>
        <w:rPr>
          <w:rFonts w:hint="eastAsia"/>
          <w:bCs/>
        </w:rPr>
        <w:t>14</w:t>
      </w:r>
      <w:r>
        <w:rPr>
          <w:rFonts w:hint="eastAsia"/>
          <w:bCs/>
        </w:rPr>
        <w:t>）以基金管理人的名义，代表基金份额持有人的利益行使诉讼权利或者实施其他法律行为；</w:t>
      </w:r>
    </w:p>
    <w:p w14:paraId="34B0B0D6" w14:textId="77777777" w:rsidR="00706097" w:rsidRDefault="00DA6858">
      <w:pPr>
        <w:snapToGrid w:val="0"/>
        <w:spacing w:line="360" w:lineRule="auto"/>
        <w:ind w:firstLineChars="200" w:firstLine="420"/>
        <w:rPr>
          <w:bCs/>
        </w:rPr>
      </w:pPr>
      <w:r>
        <w:rPr>
          <w:rFonts w:hint="eastAsia"/>
          <w:bCs/>
        </w:rPr>
        <w:t>（</w:t>
      </w:r>
      <w:r>
        <w:rPr>
          <w:rFonts w:hint="eastAsia"/>
          <w:bCs/>
        </w:rPr>
        <w:t>15</w:t>
      </w:r>
      <w:r>
        <w:rPr>
          <w:rFonts w:hint="eastAsia"/>
          <w:bCs/>
        </w:rPr>
        <w:t>）选择、更换律师事务所、会计师事务所、证券经纪商或其他为基金提供服务的外部机构；</w:t>
      </w:r>
    </w:p>
    <w:p w14:paraId="797CE2A9" w14:textId="77777777" w:rsidR="00706097" w:rsidRDefault="00DA6858">
      <w:pPr>
        <w:snapToGrid w:val="0"/>
        <w:spacing w:line="360" w:lineRule="auto"/>
        <w:ind w:firstLineChars="200" w:firstLine="420"/>
        <w:rPr>
          <w:bCs/>
        </w:rPr>
      </w:pPr>
      <w:r>
        <w:rPr>
          <w:rFonts w:hint="eastAsia"/>
          <w:bCs/>
        </w:rPr>
        <w:t>（</w:t>
      </w:r>
      <w:r>
        <w:rPr>
          <w:rFonts w:hint="eastAsia"/>
          <w:bCs/>
        </w:rPr>
        <w:t>16</w:t>
      </w:r>
      <w:r>
        <w:rPr>
          <w:rFonts w:hint="eastAsia"/>
          <w:bCs/>
        </w:rPr>
        <w:t>）在符合有关法律、法规的前提下，制订和调整有关基金认购、申购、赎回、转换、</w:t>
      </w:r>
      <w:proofErr w:type="gramStart"/>
      <w:r>
        <w:rPr>
          <w:rFonts w:hint="eastAsia"/>
          <w:bCs/>
        </w:rPr>
        <w:t>非交易</w:t>
      </w:r>
      <w:proofErr w:type="gramEnd"/>
      <w:r>
        <w:rPr>
          <w:rFonts w:hint="eastAsia"/>
          <w:bCs/>
        </w:rPr>
        <w:t>过户、转托管等业务规则；</w:t>
      </w:r>
    </w:p>
    <w:p w14:paraId="47105894" w14:textId="77777777" w:rsidR="00706097" w:rsidRDefault="00DA6858">
      <w:pPr>
        <w:snapToGrid w:val="0"/>
        <w:spacing w:line="360" w:lineRule="auto"/>
        <w:ind w:firstLineChars="200" w:firstLine="420"/>
        <w:rPr>
          <w:bCs/>
        </w:rPr>
      </w:pPr>
      <w:r>
        <w:rPr>
          <w:rFonts w:hint="eastAsia"/>
          <w:bCs/>
        </w:rPr>
        <w:t>（</w:t>
      </w:r>
      <w:r>
        <w:rPr>
          <w:rFonts w:hint="eastAsia"/>
          <w:bCs/>
        </w:rPr>
        <w:t>17</w:t>
      </w:r>
      <w:r>
        <w:rPr>
          <w:rFonts w:hint="eastAsia"/>
          <w:bCs/>
        </w:rPr>
        <w:t>）法律法规及中国证监会规定的和《基金合同》约定的其他权利。</w:t>
      </w:r>
    </w:p>
    <w:p w14:paraId="59230CA4" w14:textId="77777777" w:rsidR="00706097" w:rsidRDefault="00DA6858">
      <w:pPr>
        <w:snapToGrid w:val="0"/>
        <w:spacing w:line="360" w:lineRule="auto"/>
        <w:ind w:firstLineChars="200" w:firstLine="420"/>
        <w:rPr>
          <w:bCs/>
        </w:rPr>
      </w:pPr>
      <w:r>
        <w:rPr>
          <w:rFonts w:hint="eastAsia"/>
          <w:bCs/>
        </w:rPr>
        <w:t>2</w:t>
      </w:r>
      <w:r>
        <w:rPr>
          <w:rFonts w:hint="eastAsia"/>
          <w:bCs/>
        </w:rPr>
        <w:t>、根据《基金法》、《运作办法》及其他有关规定，基金管理人的义务包括但不限于：</w:t>
      </w:r>
    </w:p>
    <w:p w14:paraId="30A8D87B"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）依法募集资金，办理或者委托经中国证监会认定的其他机构办理基金份额的发售、申购、赎回和登记事宜；</w:t>
      </w:r>
    </w:p>
    <w:p w14:paraId="5885A58C"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）办理基金备案手续；</w:t>
      </w:r>
    </w:p>
    <w:p w14:paraId="1A2CD4E9"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）自《基金合同》生效之日起，以诚实信用、谨慎勤勉的原则管理和运用基金财产；</w:t>
      </w:r>
    </w:p>
    <w:p w14:paraId="44F0BB72"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）配备足够的具有专业资格的人员进行基金投资分析、决策，以专业化的经营方式管理和运作基金财产；</w:t>
      </w:r>
    </w:p>
    <w:p w14:paraId="6253E538" w14:textId="77777777" w:rsidR="00706097" w:rsidRDefault="00DA6858">
      <w:pPr>
        <w:snapToGrid w:val="0"/>
        <w:spacing w:line="360" w:lineRule="auto"/>
        <w:ind w:firstLineChars="200" w:firstLine="420"/>
        <w:rPr>
          <w:bCs/>
        </w:rPr>
      </w:pPr>
      <w:r>
        <w:rPr>
          <w:rFonts w:hint="eastAsia"/>
          <w:bCs/>
        </w:rPr>
        <w:lastRenderedPageBreak/>
        <w:t>（</w:t>
      </w:r>
      <w:r>
        <w:rPr>
          <w:rFonts w:hint="eastAsia"/>
          <w:bCs/>
        </w:rPr>
        <w:t>5</w:t>
      </w:r>
      <w:r>
        <w:rPr>
          <w:rFonts w:hint="eastAsia"/>
          <w:bCs/>
        </w:rPr>
        <w:t>）建立健全内部风险控制、监察与稽核、财务管理及人事管理等制度，保证所管理的基金财产和基金管理人的财产相互独立，对所管理的不同基金分别管理，分别记账，进行证券投资；</w:t>
      </w:r>
    </w:p>
    <w:p w14:paraId="478D8942"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）除依据《基金法》、《基金合同》及其他有关规定外，不得利用基金财产为自己及任何第三人谋取利益，不得委托第三人运作基金财产；</w:t>
      </w:r>
    </w:p>
    <w:p w14:paraId="1BD782BE"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）依法接受基金托管人的监督；</w:t>
      </w:r>
    </w:p>
    <w:p w14:paraId="35BF7DBA"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）采取适当合理的措施使计算基金份额认购、申购、赎回和注销价格的方法符合《基金合同》等法律文件的规定，按有关规定计算并公告基金净值信息，确定基金份额申购、赎回的价格；</w:t>
      </w:r>
    </w:p>
    <w:p w14:paraId="0E472616"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）进行基金会计核算并编制基金财务会计报告；</w:t>
      </w:r>
    </w:p>
    <w:p w14:paraId="5A8CC17A" w14:textId="77777777" w:rsidR="00706097" w:rsidRDefault="00DA6858">
      <w:pPr>
        <w:snapToGrid w:val="0"/>
        <w:spacing w:line="360" w:lineRule="auto"/>
        <w:ind w:firstLineChars="200" w:firstLine="420"/>
        <w:rPr>
          <w:bCs/>
        </w:rPr>
      </w:pPr>
      <w:r>
        <w:rPr>
          <w:rFonts w:hint="eastAsia"/>
          <w:bCs/>
        </w:rPr>
        <w:t>（</w:t>
      </w:r>
      <w:r>
        <w:rPr>
          <w:rFonts w:hint="eastAsia"/>
          <w:bCs/>
        </w:rPr>
        <w:t>10</w:t>
      </w:r>
      <w:r>
        <w:rPr>
          <w:rFonts w:hint="eastAsia"/>
          <w:bCs/>
        </w:rPr>
        <w:t>）编制季度报告、中期报告和年度报告；</w:t>
      </w:r>
    </w:p>
    <w:p w14:paraId="64E75AF5" w14:textId="77777777" w:rsidR="00706097" w:rsidRDefault="00DA6858">
      <w:pPr>
        <w:snapToGrid w:val="0"/>
        <w:spacing w:line="360" w:lineRule="auto"/>
        <w:ind w:firstLineChars="200" w:firstLine="420"/>
        <w:rPr>
          <w:bCs/>
        </w:rPr>
      </w:pPr>
      <w:r>
        <w:rPr>
          <w:rFonts w:hint="eastAsia"/>
          <w:bCs/>
        </w:rPr>
        <w:t>（</w:t>
      </w:r>
      <w:r>
        <w:rPr>
          <w:rFonts w:hint="eastAsia"/>
          <w:bCs/>
        </w:rPr>
        <w:t>11</w:t>
      </w:r>
      <w:r>
        <w:rPr>
          <w:rFonts w:hint="eastAsia"/>
          <w:bCs/>
        </w:rPr>
        <w:t>）严格按照《基金法》、《基金合同》及其他有关规定，履行信息披露及报告义务；</w:t>
      </w:r>
    </w:p>
    <w:p w14:paraId="1A994997" w14:textId="77777777" w:rsidR="00706097" w:rsidRDefault="00DA6858">
      <w:pPr>
        <w:snapToGrid w:val="0"/>
        <w:spacing w:line="360" w:lineRule="auto"/>
        <w:ind w:firstLineChars="200" w:firstLine="420"/>
        <w:rPr>
          <w:bCs/>
        </w:rPr>
      </w:pPr>
      <w:r>
        <w:rPr>
          <w:rFonts w:hint="eastAsia"/>
          <w:bCs/>
        </w:rPr>
        <w:t>（</w:t>
      </w:r>
      <w:r>
        <w:rPr>
          <w:rFonts w:hint="eastAsia"/>
          <w:bCs/>
        </w:rPr>
        <w:t>12</w:t>
      </w:r>
      <w:r>
        <w:rPr>
          <w:rFonts w:hint="eastAsia"/>
          <w:bCs/>
        </w:rPr>
        <w:t>）保守基金商业秘密，不泄露基金投资计划、投资意向等。除《基金法》、《基金合同》及其他有关规定另有规定外，在基金信息公开披露前应予保密，不向他人泄露；</w:t>
      </w:r>
    </w:p>
    <w:p w14:paraId="05A8DE81" w14:textId="77777777" w:rsidR="00706097" w:rsidRDefault="00DA6858">
      <w:pPr>
        <w:snapToGrid w:val="0"/>
        <w:spacing w:line="360" w:lineRule="auto"/>
        <w:ind w:firstLineChars="200" w:firstLine="420"/>
        <w:rPr>
          <w:bCs/>
        </w:rPr>
      </w:pPr>
      <w:r>
        <w:rPr>
          <w:rFonts w:hint="eastAsia"/>
          <w:bCs/>
        </w:rPr>
        <w:t>（</w:t>
      </w:r>
      <w:r>
        <w:rPr>
          <w:rFonts w:hint="eastAsia"/>
          <w:bCs/>
        </w:rPr>
        <w:t>13</w:t>
      </w:r>
      <w:r>
        <w:rPr>
          <w:rFonts w:hint="eastAsia"/>
          <w:bCs/>
        </w:rPr>
        <w:t>）按《基金合同》的约定确定基金收益分配方案，及时向基金份额持有人分配基金收益；</w:t>
      </w:r>
    </w:p>
    <w:p w14:paraId="3A6CBAA1" w14:textId="77777777" w:rsidR="00706097" w:rsidRDefault="00DA6858">
      <w:pPr>
        <w:snapToGrid w:val="0"/>
        <w:spacing w:line="360" w:lineRule="auto"/>
        <w:ind w:firstLineChars="200" w:firstLine="420"/>
        <w:rPr>
          <w:bCs/>
        </w:rPr>
      </w:pPr>
      <w:r>
        <w:rPr>
          <w:rFonts w:hint="eastAsia"/>
          <w:bCs/>
        </w:rPr>
        <w:t>（</w:t>
      </w:r>
      <w:r>
        <w:rPr>
          <w:rFonts w:hint="eastAsia"/>
          <w:bCs/>
        </w:rPr>
        <w:t>14</w:t>
      </w:r>
      <w:r>
        <w:rPr>
          <w:rFonts w:hint="eastAsia"/>
          <w:bCs/>
        </w:rPr>
        <w:t>）按规定受理申购与赎回申请，及时、足额支付赎回款项；</w:t>
      </w:r>
    </w:p>
    <w:p w14:paraId="78407C11" w14:textId="77777777" w:rsidR="00706097" w:rsidRDefault="00DA6858">
      <w:pPr>
        <w:snapToGrid w:val="0"/>
        <w:spacing w:line="360" w:lineRule="auto"/>
        <w:ind w:firstLineChars="200" w:firstLine="420"/>
        <w:rPr>
          <w:bCs/>
        </w:rPr>
      </w:pPr>
      <w:r>
        <w:rPr>
          <w:rFonts w:hint="eastAsia"/>
          <w:bCs/>
        </w:rPr>
        <w:t>（</w:t>
      </w:r>
      <w:r>
        <w:rPr>
          <w:rFonts w:hint="eastAsia"/>
          <w:bCs/>
        </w:rPr>
        <w:t>15</w:t>
      </w:r>
      <w:r>
        <w:rPr>
          <w:rFonts w:hint="eastAsia"/>
          <w:bCs/>
        </w:rPr>
        <w:t>）依据《基金法》、《基金合同》及其他有关规定召集基金份额持有人大会或配合基金托管人、基金份额持有人依法召集基金份额持有人大会；</w:t>
      </w:r>
    </w:p>
    <w:p w14:paraId="5CE48040" w14:textId="77777777" w:rsidR="00706097" w:rsidRDefault="00DA6858">
      <w:pPr>
        <w:snapToGrid w:val="0"/>
        <w:spacing w:line="360" w:lineRule="auto"/>
        <w:ind w:firstLineChars="200" w:firstLine="420"/>
        <w:rPr>
          <w:bCs/>
        </w:rPr>
      </w:pPr>
      <w:r>
        <w:rPr>
          <w:rFonts w:hint="eastAsia"/>
          <w:bCs/>
        </w:rPr>
        <w:t>（</w:t>
      </w:r>
      <w:r>
        <w:rPr>
          <w:rFonts w:hint="eastAsia"/>
          <w:bCs/>
        </w:rPr>
        <w:t>16</w:t>
      </w:r>
      <w:r>
        <w:rPr>
          <w:rFonts w:hint="eastAsia"/>
          <w:bCs/>
        </w:rPr>
        <w:t>）按规定保存基金财产管理业务活动的会计账册、报表、记录和其他相关资料</w:t>
      </w:r>
      <w:r>
        <w:rPr>
          <w:rFonts w:hint="eastAsia"/>
          <w:bCs/>
        </w:rPr>
        <w:t>15</w:t>
      </w:r>
      <w:r>
        <w:rPr>
          <w:rFonts w:hint="eastAsia"/>
          <w:bCs/>
        </w:rPr>
        <w:t>年以上；</w:t>
      </w:r>
    </w:p>
    <w:p w14:paraId="4518FCA1" w14:textId="77777777" w:rsidR="00706097" w:rsidRDefault="00DA6858">
      <w:pPr>
        <w:snapToGrid w:val="0"/>
        <w:spacing w:line="360" w:lineRule="auto"/>
        <w:ind w:firstLineChars="200" w:firstLine="420"/>
        <w:rPr>
          <w:bCs/>
        </w:rPr>
      </w:pPr>
      <w:r>
        <w:rPr>
          <w:rFonts w:hint="eastAsia"/>
          <w:bCs/>
        </w:rPr>
        <w:t>（</w:t>
      </w:r>
      <w:r>
        <w:rPr>
          <w:rFonts w:hint="eastAsia"/>
          <w:bCs/>
        </w:rPr>
        <w:t>17</w:t>
      </w:r>
      <w:r>
        <w:rPr>
          <w:rFonts w:hint="eastAsia"/>
          <w:bCs/>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AA07D1C" w14:textId="77777777" w:rsidR="00706097" w:rsidRDefault="00DA6858">
      <w:pPr>
        <w:snapToGrid w:val="0"/>
        <w:spacing w:line="360" w:lineRule="auto"/>
        <w:ind w:firstLineChars="200" w:firstLine="420"/>
        <w:rPr>
          <w:bCs/>
        </w:rPr>
      </w:pPr>
      <w:r>
        <w:rPr>
          <w:rFonts w:hint="eastAsia"/>
          <w:bCs/>
        </w:rPr>
        <w:t>（</w:t>
      </w:r>
      <w:r>
        <w:rPr>
          <w:rFonts w:hint="eastAsia"/>
          <w:bCs/>
        </w:rPr>
        <w:t>18</w:t>
      </w:r>
      <w:r>
        <w:rPr>
          <w:rFonts w:hint="eastAsia"/>
          <w:bCs/>
        </w:rPr>
        <w:t>）组织并参加基金财产清算小组，参与基金财产的保管、清理、估价、变现和分配；</w:t>
      </w:r>
    </w:p>
    <w:p w14:paraId="29EC8619" w14:textId="77777777" w:rsidR="00706097" w:rsidRDefault="00DA6858">
      <w:pPr>
        <w:snapToGrid w:val="0"/>
        <w:spacing w:line="360" w:lineRule="auto"/>
        <w:ind w:firstLineChars="200" w:firstLine="420"/>
        <w:rPr>
          <w:bCs/>
        </w:rPr>
      </w:pPr>
      <w:r>
        <w:rPr>
          <w:rFonts w:hint="eastAsia"/>
          <w:bCs/>
        </w:rPr>
        <w:t>（</w:t>
      </w:r>
      <w:r>
        <w:rPr>
          <w:rFonts w:hint="eastAsia"/>
          <w:bCs/>
        </w:rPr>
        <w:t>19</w:t>
      </w:r>
      <w:r>
        <w:rPr>
          <w:rFonts w:hint="eastAsia"/>
          <w:bCs/>
        </w:rPr>
        <w:t>）面临解散、依法被撤销或者被依法宣告破产时，及时报告中国证监会并通知基金托管人；</w:t>
      </w:r>
    </w:p>
    <w:p w14:paraId="71E12846" w14:textId="77777777" w:rsidR="00706097" w:rsidRDefault="00DA6858">
      <w:pPr>
        <w:snapToGrid w:val="0"/>
        <w:spacing w:line="360" w:lineRule="auto"/>
        <w:ind w:firstLineChars="200" w:firstLine="420"/>
        <w:rPr>
          <w:bCs/>
        </w:rPr>
      </w:pPr>
      <w:r>
        <w:rPr>
          <w:rFonts w:hint="eastAsia"/>
          <w:bCs/>
        </w:rPr>
        <w:t>（</w:t>
      </w:r>
      <w:r>
        <w:rPr>
          <w:rFonts w:hint="eastAsia"/>
          <w:bCs/>
        </w:rPr>
        <w:t>20</w:t>
      </w:r>
      <w:r>
        <w:rPr>
          <w:rFonts w:hint="eastAsia"/>
          <w:bCs/>
        </w:rPr>
        <w:t>）因违反《基金合同》导致基金财产的损失或损害基金份额持有人合法权益时，应当承担赔偿责任，其赔偿责任不因其退任而免除；</w:t>
      </w:r>
    </w:p>
    <w:p w14:paraId="65D2F24C" w14:textId="77777777" w:rsidR="00706097" w:rsidRDefault="00DA6858">
      <w:pPr>
        <w:snapToGrid w:val="0"/>
        <w:spacing w:line="360" w:lineRule="auto"/>
        <w:ind w:firstLineChars="200" w:firstLine="420"/>
        <w:rPr>
          <w:bCs/>
        </w:rPr>
      </w:pPr>
      <w:r>
        <w:rPr>
          <w:rFonts w:hint="eastAsia"/>
          <w:bCs/>
        </w:rPr>
        <w:t>（</w:t>
      </w:r>
      <w:r>
        <w:rPr>
          <w:rFonts w:hint="eastAsia"/>
          <w:bCs/>
        </w:rPr>
        <w:t>21</w:t>
      </w:r>
      <w:r>
        <w:rPr>
          <w:rFonts w:hint="eastAsia"/>
          <w:bCs/>
        </w:rPr>
        <w:t>）监督基金托管人按法律法规和《基金合同》规定履行自己的义务，基金托管人违反《基金合同》造成基金财产损失时，基金管理人应为基金份额持有人利益向基金托管人追偿；</w:t>
      </w:r>
    </w:p>
    <w:p w14:paraId="68A64AF6" w14:textId="77777777" w:rsidR="00706097" w:rsidRDefault="00DA6858">
      <w:pPr>
        <w:snapToGrid w:val="0"/>
        <w:spacing w:line="360" w:lineRule="auto"/>
        <w:ind w:firstLineChars="200" w:firstLine="420"/>
        <w:rPr>
          <w:bCs/>
        </w:rPr>
      </w:pPr>
      <w:r>
        <w:rPr>
          <w:rFonts w:hint="eastAsia"/>
          <w:bCs/>
        </w:rPr>
        <w:t>（</w:t>
      </w:r>
      <w:r>
        <w:rPr>
          <w:rFonts w:hint="eastAsia"/>
          <w:bCs/>
        </w:rPr>
        <w:t>22</w:t>
      </w:r>
      <w:r>
        <w:rPr>
          <w:rFonts w:hint="eastAsia"/>
          <w:bCs/>
        </w:rPr>
        <w:t>）当基金管理人将其义务委托第三方处理时，应当对第三方处理有关基金事务的行为承担责任；</w:t>
      </w:r>
    </w:p>
    <w:p w14:paraId="4E96BB26" w14:textId="77777777" w:rsidR="00706097" w:rsidRDefault="00DA6858">
      <w:pPr>
        <w:snapToGrid w:val="0"/>
        <w:spacing w:line="360" w:lineRule="auto"/>
        <w:ind w:firstLineChars="200" w:firstLine="420"/>
        <w:rPr>
          <w:bCs/>
        </w:rPr>
      </w:pPr>
      <w:r>
        <w:rPr>
          <w:rFonts w:hint="eastAsia"/>
          <w:bCs/>
        </w:rPr>
        <w:lastRenderedPageBreak/>
        <w:t>（</w:t>
      </w:r>
      <w:r>
        <w:rPr>
          <w:rFonts w:hint="eastAsia"/>
          <w:bCs/>
        </w:rPr>
        <w:t>23</w:t>
      </w:r>
      <w:r>
        <w:rPr>
          <w:rFonts w:hint="eastAsia"/>
          <w:bCs/>
        </w:rPr>
        <w:t>）以基金管理人名义，代表基金份额持有人利益行使诉讼权利或实施其他法律行为；</w:t>
      </w:r>
    </w:p>
    <w:p w14:paraId="07967D58" w14:textId="77777777" w:rsidR="00706097" w:rsidRDefault="00DA6858">
      <w:pPr>
        <w:snapToGrid w:val="0"/>
        <w:spacing w:line="360" w:lineRule="auto"/>
        <w:ind w:firstLineChars="200" w:firstLine="420"/>
        <w:rPr>
          <w:bCs/>
        </w:rPr>
      </w:pPr>
      <w:r>
        <w:rPr>
          <w:rFonts w:hint="eastAsia"/>
          <w:bCs/>
        </w:rPr>
        <w:t>（</w:t>
      </w:r>
      <w:r>
        <w:rPr>
          <w:rFonts w:hint="eastAsia"/>
          <w:bCs/>
        </w:rPr>
        <w:t>24</w:t>
      </w:r>
      <w:r>
        <w:rPr>
          <w:rFonts w:hint="eastAsia"/>
          <w:bCs/>
        </w:rPr>
        <w:t>）基金管理人在募集期间未能达到基金的备案条件，《基金合同》不能生效，基金管理人承担全部募集费用，将已募集资金并加计银行同期活期存款利息在基金募集期结束后</w:t>
      </w:r>
      <w:r>
        <w:rPr>
          <w:rFonts w:hint="eastAsia"/>
          <w:bCs/>
        </w:rPr>
        <w:t>30</w:t>
      </w:r>
      <w:r>
        <w:rPr>
          <w:rFonts w:hint="eastAsia"/>
          <w:bCs/>
        </w:rPr>
        <w:t>日内退还基金认购人；</w:t>
      </w:r>
    </w:p>
    <w:p w14:paraId="335358F5" w14:textId="77777777" w:rsidR="00706097" w:rsidRDefault="00DA6858">
      <w:pPr>
        <w:snapToGrid w:val="0"/>
        <w:spacing w:line="360" w:lineRule="auto"/>
        <w:ind w:firstLineChars="200" w:firstLine="420"/>
        <w:rPr>
          <w:bCs/>
        </w:rPr>
      </w:pPr>
      <w:r>
        <w:rPr>
          <w:rFonts w:hint="eastAsia"/>
          <w:bCs/>
        </w:rPr>
        <w:t>（</w:t>
      </w:r>
      <w:r>
        <w:rPr>
          <w:rFonts w:hint="eastAsia"/>
          <w:bCs/>
        </w:rPr>
        <w:t>25</w:t>
      </w:r>
      <w:r>
        <w:rPr>
          <w:rFonts w:hint="eastAsia"/>
          <w:bCs/>
        </w:rPr>
        <w:t>）执行生效的基金份额持有人大会的决议；</w:t>
      </w:r>
    </w:p>
    <w:p w14:paraId="1F888D7E" w14:textId="77777777" w:rsidR="00706097" w:rsidRDefault="00DA6858">
      <w:pPr>
        <w:snapToGrid w:val="0"/>
        <w:spacing w:line="360" w:lineRule="auto"/>
        <w:ind w:firstLineChars="200" w:firstLine="420"/>
        <w:rPr>
          <w:bCs/>
        </w:rPr>
      </w:pPr>
      <w:r>
        <w:rPr>
          <w:rFonts w:hint="eastAsia"/>
          <w:bCs/>
        </w:rPr>
        <w:t>（</w:t>
      </w:r>
      <w:r>
        <w:rPr>
          <w:rFonts w:hint="eastAsia"/>
          <w:bCs/>
        </w:rPr>
        <w:t>26</w:t>
      </w:r>
      <w:r>
        <w:rPr>
          <w:rFonts w:hint="eastAsia"/>
          <w:bCs/>
        </w:rPr>
        <w:t>）建立并保存基金份额持有人名册；</w:t>
      </w:r>
    </w:p>
    <w:p w14:paraId="54A8D01F" w14:textId="77777777" w:rsidR="00706097" w:rsidRDefault="00DA6858">
      <w:pPr>
        <w:snapToGrid w:val="0"/>
        <w:spacing w:line="360" w:lineRule="auto"/>
        <w:ind w:firstLineChars="200" w:firstLine="420"/>
        <w:rPr>
          <w:bCs/>
        </w:rPr>
      </w:pPr>
      <w:r>
        <w:rPr>
          <w:rFonts w:hint="eastAsia"/>
          <w:bCs/>
        </w:rPr>
        <w:t>（</w:t>
      </w:r>
      <w:r>
        <w:rPr>
          <w:rFonts w:hint="eastAsia"/>
          <w:bCs/>
        </w:rPr>
        <w:t>27</w:t>
      </w:r>
      <w:r>
        <w:rPr>
          <w:rFonts w:hint="eastAsia"/>
          <w:bCs/>
        </w:rPr>
        <w:t>）法律法规及中国证监会规定的和《基金合同》约定的其他义务。</w:t>
      </w:r>
    </w:p>
    <w:p w14:paraId="6B451BB0" w14:textId="77777777" w:rsidR="00706097" w:rsidRDefault="00DA6858">
      <w:pPr>
        <w:snapToGrid w:val="0"/>
        <w:spacing w:line="360" w:lineRule="auto"/>
        <w:ind w:firstLineChars="200" w:firstLine="420"/>
        <w:rPr>
          <w:bCs/>
        </w:rPr>
      </w:pPr>
      <w:r>
        <w:rPr>
          <w:rFonts w:hint="eastAsia"/>
          <w:bCs/>
        </w:rPr>
        <w:t>（三）基金托管人的权利、义务</w:t>
      </w:r>
    </w:p>
    <w:p w14:paraId="55441464" w14:textId="77777777" w:rsidR="00706097" w:rsidRDefault="00DA6858">
      <w:pPr>
        <w:snapToGrid w:val="0"/>
        <w:spacing w:line="360" w:lineRule="auto"/>
        <w:ind w:firstLineChars="200" w:firstLine="420"/>
        <w:rPr>
          <w:bCs/>
        </w:rPr>
      </w:pPr>
      <w:r>
        <w:rPr>
          <w:rFonts w:hint="eastAsia"/>
          <w:bCs/>
        </w:rPr>
        <w:t>1</w:t>
      </w:r>
      <w:r>
        <w:rPr>
          <w:rFonts w:hint="eastAsia"/>
          <w:bCs/>
        </w:rPr>
        <w:t>、根据《基金法》、《运作办法》及其他有关规定，基金托管人的权利包括但不限于：</w:t>
      </w:r>
    </w:p>
    <w:p w14:paraId="2FCF1812"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）自《基金合同》生效之日起，依法</w:t>
      </w:r>
      <w:proofErr w:type="gramStart"/>
      <w:r>
        <w:rPr>
          <w:rFonts w:hint="eastAsia"/>
          <w:bCs/>
        </w:rPr>
        <w:t>律法规</w:t>
      </w:r>
      <w:proofErr w:type="gramEnd"/>
      <w:r>
        <w:rPr>
          <w:rFonts w:hint="eastAsia"/>
          <w:bCs/>
        </w:rPr>
        <w:t>和《基金合同》的规定安全保管基金财产；</w:t>
      </w:r>
    </w:p>
    <w:p w14:paraId="36DB38EA"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）依《基金合同》约定获得基金托管费以及法律法规规定或监管部门批准的其他费用；</w:t>
      </w:r>
    </w:p>
    <w:p w14:paraId="132342B3"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AC290C3"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）根据相关市场规则，为基金开设资金账户和证券账户等投资所需账户，为基金办理证券交易资金清算；</w:t>
      </w:r>
    </w:p>
    <w:p w14:paraId="25386A79"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）提议召开或召集基金份额持有人大会；</w:t>
      </w:r>
    </w:p>
    <w:p w14:paraId="00597170"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）在基金管理人更换时，提名新的基金管理人；</w:t>
      </w:r>
    </w:p>
    <w:p w14:paraId="02618220"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）法律法规及中国证监会规定的和《基金合同》约定的其他权利。</w:t>
      </w:r>
    </w:p>
    <w:p w14:paraId="71C9AE16" w14:textId="77777777" w:rsidR="00706097" w:rsidRDefault="00DA6858">
      <w:pPr>
        <w:snapToGrid w:val="0"/>
        <w:spacing w:line="360" w:lineRule="auto"/>
        <w:ind w:firstLineChars="200" w:firstLine="420"/>
        <w:rPr>
          <w:bCs/>
        </w:rPr>
      </w:pPr>
      <w:r>
        <w:rPr>
          <w:rFonts w:hint="eastAsia"/>
          <w:bCs/>
        </w:rPr>
        <w:t>2</w:t>
      </w:r>
      <w:r>
        <w:rPr>
          <w:rFonts w:hint="eastAsia"/>
          <w:bCs/>
        </w:rPr>
        <w:t>、根据《基金法》、《运作办法》及其他有关规定，基金托管人的义务包括但不限于：</w:t>
      </w:r>
    </w:p>
    <w:p w14:paraId="61286D80"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）以诚实信用、勤勉尽责的原则持有并安全保管基金财产；</w:t>
      </w:r>
    </w:p>
    <w:p w14:paraId="66FDBAAA"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）设立专门的基金托管部门，具有符合要求的营业场所，配备足够的、合格的熟悉基金托管业务的专职人员，负责基金财产托管事宜；</w:t>
      </w:r>
    </w:p>
    <w:p w14:paraId="2EEEEC91"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EF6443B"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）除依据《基金法》、《基金合同》、《托管协议》及其他有关规定外，不得利用基金财产为自己及任何第三人谋取利益，不得委托第三人托管基金财产；</w:t>
      </w:r>
    </w:p>
    <w:p w14:paraId="68A43ED5"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）保管由基金管理人代表基金签订的与基金有关的重大合同及有关凭证；</w:t>
      </w:r>
    </w:p>
    <w:p w14:paraId="000B6273"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）按规定开设基金财产的资金账户和证券账户等投资所需账户，按照《基金合同》、《托管协议》的约定，根据基金管理人的投资指令，及时办理清算、交割事宜；</w:t>
      </w:r>
    </w:p>
    <w:p w14:paraId="4FCC8CED" w14:textId="77777777" w:rsidR="00706097" w:rsidRDefault="00DA6858">
      <w:pPr>
        <w:snapToGrid w:val="0"/>
        <w:spacing w:line="360" w:lineRule="auto"/>
        <w:ind w:firstLineChars="200" w:firstLine="420"/>
        <w:rPr>
          <w:bCs/>
        </w:rPr>
      </w:pPr>
      <w:r>
        <w:rPr>
          <w:rFonts w:hint="eastAsia"/>
          <w:bCs/>
        </w:rPr>
        <w:lastRenderedPageBreak/>
        <w:t>（</w:t>
      </w:r>
      <w:r>
        <w:rPr>
          <w:rFonts w:hint="eastAsia"/>
          <w:bCs/>
        </w:rPr>
        <w:t>7</w:t>
      </w:r>
      <w:r>
        <w:rPr>
          <w:rFonts w:hint="eastAsia"/>
          <w:bCs/>
        </w:rPr>
        <w:t>）保守基金商业秘密，除《基金法》、《基金合同》、《托管协议》及其他有关规定另有规定外，在基金信息公开披露前予以保密，不得向他人泄露，但向监管机构、司法机关及审计、法律等外部专业顾问提供的除外；</w:t>
      </w:r>
    </w:p>
    <w:p w14:paraId="75472DF2"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）复核、审查基金管理人计算的基金资产净值、基金份额净值、基金份额申购、赎回价格；</w:t>
      </w:r>
    </w:p>
    <w:p w14:paraId="46BAA030"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）办理与基金托管业务活动有关的信息披露事项；</w:t>
      </w:r>
    </w:p>
    <w:p w14:paraId="00A03446" w14:textId="77777777" w:rsidR="00706097" w:rsidRDefault="00DA6858">
      <w:pPr>
        <w:snapToGrid w:val="0"/>
        <w:spacing w:line="360" w:lineRule="auto"/>
        <w:ind w:firstLineChars="200" w:firstLine="420"/>
        <w:rPr>
          <w:bCs/>
        </w:rPr>
      </w:pPr>
      <w:r>
        <w:rPr>
          <w:rFonts w:hint="eastAsia"/>
          <w:bCs/>
        </w:rPr>
        <w:t>（</w:t>
      </w:r>
      <w:r>
        <w:rPr>
          <w:rFonts w:hint="eastAsia"/>
          <w:bCs/>
        </w:rPr>
        <w:t>10</w:t>
      </w:r>
      <w:r>
        <w:rPr>
          <w:rFonts w:hint="eastAsia"/>
          <w:bCs/>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D0204F3" w14:textId="77777777" w:rsidR="00706097" w:rsidRDefault="00DA6858">
      <w:pPr>
        <w:snapToGrid w:val="0"/>
        <w:spacing w:line="360" w:lineRule="auto"/>
        <w:ind w:firstLineChars="200" w:firstLine="420"/>
        <w:rPr>
          <w:bCs/>
        </w:rPr>
      </w:pPr>
      <w:r>
        <w:rPr>
          <w:rFonts w:hint="eastAsia"/>
          <w:bCs/>
        </w:rPr>
        <w:t>（</w:t>
      </w:r>
      <w:r>
        <w:rPr>
          <w:rFonts w:hint="eastAsia"/>
          <w:bCs/>
        </w:rPr>
        <w:t>11</w:t>
      </w:r>
      <w:r>
        <w:rPr>
          <w:rFonts w:hint="eastAsia"/>
          <w:bCs/>
        </w:rPr>
        <w:t>）保存基金托管业务活动的记录、账册、报表和其他相关资料</w:t>
      </w:r>
      <w:r>
        <w:rPr>
          <w:rFonts w:hint="eastAsia"/>
          <w:bCs/>
        </w:rPr>
        <w:t>15</w:t>
      </w:r>
      <w:r>
        <w:rPr>
          <w:rFonts w:hint="eastAsia"/>
          <w:bCs/>
        </w:rPr>
        <w:t>年以上；</w:t>
      </w:r>
    </w:p>
    <w:p w14:paraId="7184957F" w14:textId="77777777" w:rsidR="00706097" w:rsidRDefault="00DA6858">
      <w:pPr>
        <w:snapToGrid w:val="0"/>
        <w:spacing w:line="360" w:lineRule="auto"/>
        <w:ind w:firstLineChars="200" w:firstLine="420"/>
        <w:rPr>
          <w:bCs/>
        </w:rPr>
      </w:pPr>
      <w:r>
        <w:rPr>
          <w:rFonts w:hint="eastAsia"/>
          <w:bCs/>
        </w:rPr>
        <w:t>（</w:t>
      </w:r>
      <w:r>
        <w:rPr>
          <w:rFonts w:hint="eastAsia"/>
          <w:bCs/>
        </w:rPr>
        <w:t>12</w:t>
      </w:r>
      <w:r>
        <w:rPr>
          <w:rFonts w:hint="eastAsia"/>
          <w:bCs/>
        </w:rPr>
        <w:t>）从基金管理人或其委托的登记机构处接收并保存基金份额持有人名册；</w:t>
      </w:r>
    </w:p>
    <w:p w14:paraId="06682FD3" w14:textId="77777777" w:rsidR="00706097" w:rsidRDefault="00DA6858">
      <w:pPr>
        <w:snapToGrid w:val="0"/>
        <w:spacing w:line="360" w:lineRule="auto"/>
        <w:ind w:firstLineChars="200" w:firstLine="420"/>
        <w:rPr>
          <w:bCs/>
        </w:rPr>
      </w:pPr>
      <w:r>
        <w:rPr>
          <w:rFonts w:hint="eastAsia"/>
          <w:bCs/>
        </w:rPr>
        <w:t>（</w:t>
      </w:r>
      <w:r>
        <w:rPr>
          <w:rFonts w:hint="eastAsia"/>
          <w:bCs/>
        </w:rPr>
        <w:t>13</w:t>
      </w:r>
      <w:r>
        <w:rPr>
          <w:rFonts w:hint="eastAsia"/>
          <w:bCs/>
        </w:rPr>
        <w:t>）按规定制作相关账册并与基金管理人核对；</w:t>
      </w:r>
    </w:p>
    <w:p w14:paraId="65FF6520" w14:textId="77777777" w:rsidR="00706097" w:rsidRDefault="00DA6858">
      <w:pPr>
        <w:snapToGrid w:val="0"/>
        <w:spacing w:line="360" w:lineRule="auto"/>
        <w:ind w:firstLineChars="200" w:firstLine="420"/>
        <w:rPr>
          <w:bCs/>
        </w:rPr>
      </w:pPr>
      <w:r>
        <w:rPr>
          <w:rFonts w:hint="eastAsia"/>
          <w:bCs/>
        </w:rPr>
        <w:t>（</w:t>
      </w:r>
      <w:r>
        <w:rPr>
          <w:rFonts w:hint="eastAsia"/>
          <w:bCs/>
        </w:rPr>
        <w:t>14</w:t>
      </w:r>
      <w:r>
        <w:rPr>
          <w:rFonts w:hint="eastAsia"/>
          <w:bCs/>
        </w:rPr>
        <w:t>）依据基金管理人的指令或有关规定向基金份额持有人支付基金收益和赎回款项；</w:t>
      </w:r>
    </w:p>
    <w:p w14:paraId="11D774AA" w14:textId="77777777" w:rsidR="00706097" w:rsidRDefault="00DA6858">
      <w:pPr>
        <w:snapToGrid w:val="0"/>
        <w:spacing w:line="360" w:lineRule="auto"/>
        <w:ind w:firstLineChars="200" w:firstLine="420"/>
        <w:rPr>
          <w:bCs/>
        </w:rPr>
      </w:pPr>
      <w:r>
        <w:rPr>
          <w:rFonts w:hint="eastAsia"/>
          <w:bCs/>
        </w:rPr>
        <w:t>（</w:t>
      </w:r>
      <w:r>
        <w:rPr>
          <w:rFonts w:hint="eastAsia"/>
          <w:bCs/>
        </w:rPr>
        <w:t>15</w:t>
      </w:r>
      <w:r>
        <w:rPr>
          <w:rFonts w:hint="eastAsia"/>
          <w:bCs/>
        </w:rPr>
        <w:t>）依据《基金法》、《基金合同》及其他有关规定，召集基金份额持有人大会或配合基金管理人、基金份额持有人依法召集基金份额持有人大会；</w:t>
      </w:r>
    </w:p>
    <w:p w14:paraId="11A350CA" w14:textId="77777777" w:rsidR="00706097" w:rsidRDefault="00DA6858">
      <w:pPr>
        <w:snapToGrid w:val="0"/>
        <w:spacing w:line="360" w:lineRule="auto"/>
        <w:ind w:firstLineChars="200" w:firstLine="420"/>
        <w:rPr>
          <w:bCs/>
        </w:rPr>
      </w:pPr>
      <w:r>
        <w:rPr>
          <w:rFonts w:hint="eastAsia"/>
          <w:bCs/>
        </w:rPr>
        <w:t>（</w:t>
      </w:r>
      <w:r>
        <w:rPr>
          <w:rFonts w:hint="eastAsia"/>
          <w:bCs/>
        </w:rPr>
        <w:t>16</w:t>
      </w:r>
      <w:r>
        <w:rPr>
          <w:rFonts w:hint="eastAsia"/>
          <w:bCs/>
        </w:rPr>
        <w:t>）按照法律法规和《基金合同》、《托管协议》的规定监督基金管理人的投资运作；</w:t>
      </w:r>
    </w:p>
    <w:p w14:paraId="415EFD3F" w14:textId="77777777" w:rsidR="00706097" w:rsidRDefault="00DA6858">
      <w:pPr>
        <w:snapToGrid w:val="0"/>
        <w:spacing w:line="360" w:lineRule="auto"/>
        <w:ind w:firstLineChars="200" w:firstLine="420"/>
        <w:rPr>
          <w:bCs/>
        </w:rPr>
      </w:pPr>
      <w:r>
        <w:rPr>
          <w:rFonts w:hint="eastAsia"/>
          <w:bCs/>
        </w:rPr>
        <w:t>（</w:t>
      </w:r>
      <w:r>
        <w:rPr>
          <w:rFonts w:hint="eastAsia"/>
          <w:bCs/>
        </w:rPr>
        <w:t>17</w:t>
      </w:r>
      <w:r>
        <w:rPr>
          <w:rFonts w:hint="eastAsia"/>
          <w:bCs/>
        </w:rPr>
        <w:t>）参加基金财产清算小组，参与基金财产的保管、清理、估价、变现和分配；</w:t>
      </w:r>
    </w:p>
    <w:p w14:paraId="742625A3" w14:textId="77777777" w:rsidR="00706097" w:rsidRDefault="00DA6858">
      <w:pPr>
        <w:snapToGrid w:val="0"/>
        <w:spacing w:line="360" w:lineRule="auto"/>
        <w:ind w:firstLineChars="200" w:firstLine="420"/>
        <w:rPr>
          <w:bCs/>
        </w:rPr>
      </w:pPr>
      <w:r>
        <w:rPr>
          <w:rFonts w:hint="eastAsia"/>
          <w:bCs/>
        </w:rPr>
        <w:t>（</w:t>
      </w:r>
      <w:r>
        <w:rPr>
          <w:rFonts w:hint="eastAsia"/>
          <w:bCs/>
        </w:rPr>
        <w:t>18</w:t>
      </w:r>
      <w:r>
        <w:rPr>
          <w:rFonts w:hint="eastAsia"/>
          <w:bCs/>
        </w:rPr>
        <w:t>）面临解散、依法被撤销或者被依法宣告破产时，及时报告中国证监会和银行监管机构，并通知基金管理人；</w:t>
      </w:r>
    </w:p>
    <w:p w14:paraId="767ED08D" w14:textId="77777777" w:rsidR="00706097" w:rsidRDefault="00DA6858">
      <w:pPr>
        <w:snapToGrid w:val="0"/>
        <w:spacing w:line="360" w:lineRule="auto"/>
        <w:ind w:firstLineChars="200" w:firstLine="420"/>
        <w:rPr>
          <w:bCs/>
        </w:rPr>
      </w:pPr>
      <w:r>
        <w:rPr>
          <w:rFonts w:hint="eastAsia"/>
          <w:bCs/>
        </w:rPr>
        <w:t>（</w:t>
      </w:r>
      <w:r>
        <w:rPr>
          <w:rFonts w:hint="eastAsia"/>
          <w:bCs/>
        </w:rPr>
        <w:t>19</w:t>
      </w:r>
      <w:r>
        <w:rPr>
          <w:rFonts w:hint="eastAsia"/>
          <w:bCs/>
        </w:rPr>
        <w:t>）因违反《基金合同》、《托管协议》导致基金财产损失时，应承担赔偿责任，其赔偿责任不因其退任而免除；</w:t>
      </w:r>
    </w:p>
    <w:p w14:paraId="7A13B89D" w14:textId="77777777" w:rsidR="00706097" w:rsidRDefault="00DA6858">
      <w:pPr>
        <w:snapToGrid w:val="0"/>
        <w:spacing w:line="360" w:lineRule="auto"/>
        <w:ind w:firstLineChars="200" w:firstLine="420"/>
        <w:rPr>
          <w:bCs/>
        </w:rPr>
      </w:pPr>
      <w:r>
        <w:rPr>
          <w:rFonts w:hint="eastAsia"/>
          <w:bCs/>
        </w:rPr>
        <w:t>（</w:t>
      </w:r>
      <w:r>
        <w:rPr>
          <w:rFonts w:hint="eastAsia"/>
          <w:bCs/>
        </w:rPr>
        <w:t>20</w:t>
      </w:r>
      <w:r>
        <w:rPr>
          <w:rFonts w:hint="eastAsia"/>
          <w:bCs/>
        </w:rPr>
        <w:t>）按规定监督基金管理人按法律法规和《基金合同》规定履行自己的义务，基金管理人因违反《基金合同》造成基金财产损失时，应为基金份额持有人利益向基金管理人追偿；</w:t>
      </w:r>
    </w:p>
    <w:p w14:paraId="619E67ED" w14:textId="77777777" w:rsidR="00706097" w:rsidRDefault="00DA6858">
      <w:pPr>
        <w:snapToGrid w:val="0"/>
        <w:spacing w:line="360" w:lineRule="auto"/>
        <w:ind w:firstLineChars="200" w:firstLine="420"/>
        <w:rPr>
          <w:bCs/>
        </w:rPr>
      </w:pPr>
      <w:r>
        <w:rPr>
          <w:rFonts w:hint="eastAsia"/>
          <w:bCs/>
        </w:rPr>
        <w:t>（</w:t>
      </w:r>
      <w:r>
        <w:rPr>
          <w:rFonts w:hint="eastAsia"/>
          <w:bCs/>
        </w:rPr>
        <w:t>21</w:t>
      </w:r>
      <w:r>
        <w:rPr>
          <w:rFonts w:hint="eastAsia"/>
          <w:bCs/>
        </w:rPr>
        <w:t>）执行生效的基金份额持有人大会的决议；</w:t>
      </w:r>
    </w:p>
    <w:p w14:paraId="1505E9E8" w14:textId="77777777" w:rsidR="00706097" w:rsidRDefault="00DA6858">
      <w:pPr>
        <w:snapToGrid w:val="0"/>
        <w:spacing w:line="360" w:lineRule="auto"/>
        <w:ind w:firstLineChars="200" w:firstLine="420"/>
        <w:rPr>
          <w:bCs/>
        </w:rPr>
      </w:pPr>
      <w:r>
        <w:rPr>
          <w:rFonts w:hint="eastAsia"/>
          <w:bCs/>
        </w:rPr>
        <w:t>（</w:t>
      </w:r>
      <w:r>
        <w:rPr>
          <w:rFonts w:hint="eastAsia"/>
          <w:bCs/>
        </w:rPr>
        <w:t>22</w:t>
      </w:r>
      <w:r>
        <w:rPr>
          <w:rFonts w:hint="eastAsia"/>
          <w:bCs/>
        </w:rPr>
        <w:t>）法律法规及中国证监会规定的和《基金合同》约定的其他义务。</w:t>
      </w:r>
    </w:p>
    <w:p w14:paraId="1EEB37F5" w14:textId="77777777" w:rsidR="00706097" w:rsidRDefault="00706097">
      <w:pPr>
        <w:snapToGrid w:val="0"/>
        <w:spacing w:line="360" w:lineRule="auto"/>
        <w:ind w:firstLineChars="200" w:firstLine="420"/>
        <w:rPr>
          <w:bCs/>
        </w:rPr>
      </w:pPr>
    </w:p>
    <w:p w14:paraId="40CE8134" w14:textId="77777777" w:rsidR="00706097" w:rsidRDefault="00DA6858">
      <w:pPr>
        <w:snapToGrid w:val="0"/>
        <w:spacing w:line="360" w:lineRule="auto"/>
        <w:ind w:firstLineChars="200" w:firstLine="420"/>
        <w:rPr>
          <w:bCs/>
        </w:rPr>
      </w:pPr>
      <w:r>
        <w:rPr>
          <w:rFonts w:hint="eastAsia"/>
          <w:bCs/>
        </w:rPr>
        <w:t>二、基金份额持有人大会召集、议事及表决的程序和规则</w:t>
      </w:r>
    </w:p>
    <w:p w14:paraId="4D3F8181" w14:textId="77777777" w:rsidR="00706097" w:rsidRDefault="00DA6858">
      <w:pPr>
        <w:snapToGrid w:val="0"/>
        <w:spacing w:line="360" w:lineRule="auto"/>
        <w:ind w:firstLineChars="200" w:firstLine="420"/>
        <w:rPr>
          <w:bCs/>
        </w:rPr>
      </w:pPr>
      <w:r>
        <w:rPr>
          <w:rFonts w:hint="eastAsia"/>
          <w:bCs/>
        </w:rPr>
        <w:t>基金份额持有人大会由基金份额持有人组成，基金份额持有人的合法授权代表有权代表基金份额持有人出席会议并表决。基金份额持有人持有的每一基金份额拥有平等的投票权。</w:t>
      </w:r>
    </w:p>
    <w:p w14:paraId="185814FF" w14:textId="77777777" w:rsidR="00706097" w:rsidRDefault="00DA6858">
      <w:pPr>
        <w:snapToGrid w:val="0"/>
        <w:spacing w:line="360" w:lineRule="auto"/>
        <w:ind w:firstLineChars="200" w:firstLine="420"/>
        <w:rPr>
          <w:bCs/>
        </w:rPr>
      </w:pPr>
      <w:r>
        <w:rPr>
          <w:rFonts w:hint="eastAsia"/>
          <w:bCs/>
        </w:rPr>
        <w:t>本</w:t>
      </w:r>
      <w:proofErr w:type="gramStart"/>
      <w:r>
        <w:rPr>
          <w:rFonts w:hint="eastAsia"/>
          <w:bCs/>
        </w:rPr>
        <w:t>基金基金</w:t>
      </w:r>
      <w:proofErr w:type="gramEnd"/>
      <w:r>
        <w:rPr>
          <w:rFonts w:hint="eastAsia"/>
          <w:bCs/>
        </w:rPr>
        <w:t>份额持有人大会不设日常机构。</w:t>
      </w:r>
    </w:p>
    <w:p w14:paraId="062A3A08" w14:textId="77777777" w:rsidR="00706097" w:rsidRDefault="00DA6858">
      <w:pPr>
        <w:snapToGrid w:val="0"/>
        <w:spacing w:line="360" w:lineRule="auto"/>
        <w:ind w:firstLineChars="200" w:firstLine="420"/>
        <w:rPr>
          <w:bCs/>
        </w:rPr>
      </w:pPr>
      <w:r>
        <w:rPr>
          <w:rFonts w:hint="eastAsia"/>
          <w:bCs/>
        </w:rPr>
        <w:t>（一）召开事由</w:t>
      </w:r>
    </w:p>
    <w:p w14:paraId="1D00EBA6" w14:textId="77777777" w:rsidR="00706097" w:rsidRDefault="00DA6858">
      <w:pPr>
        <w:snapToGrid w:val="0"/>
        <w:spacing w:line="360" w:lineRule="auto"/>
        <w:ind w:firstLineChars="200" w:firstLine="420"/>
        <w:rPr>
          <w:bCs/>
        </w:rPr>
      </w:pPr>
      <w:r>
        <w:rPr>
          <w:rFonts w:hint="eastAsia"/>
          <w:bCs/>
        </w:rPr>
        <w:t>1</w:t>
      </w:r>
      <w:r>
        <w:rPr>
          <w:rFonts w:hint="eastAsia"/>
          <w:bCs/>
        </w:rPr>
        <w:t>、当出现或需要决定下列事由之一的，应当召开基金份额持有人大会，但法律法规、中国证监会另有规定的除外：</w:t>
      </w:r>
    </w:p>
    <w:p w14:paraId="475CEF42" w14:textId="77777777" w:rsidR="00706097" w:rsidRDefault="00DA6858">
      <w:pPr>
        <w:snapToGrid w:val="0"/>
        <w:spacing w:line="360" w:lineRule="auto"/>
        <w:ind w:firstLineChars="200" w:firstLine="420"/>
        <w:rPr>
          <w:bCs/>
        </w:rPr>
      </w:pPr>
      <w:r>
        <w:rPr>
          <w:rFonts w:hint="eastAsia"/>
          <w:bCs/>
        </w:rPr>
        <w:lastRenderedPageBreak/>
        <w:t>（</w:t>
      </w:r>
      <w:r>
        <w:rPr>
          <w:rFonts w:hint="eastAsia"/>
          <w:bCs/>
        </w:rPr>
        <w:t>1</w:t>
      </w:r>
      <w:r>
        <w:rPr>
          <w:rFonts w:hint="eastAsia"/>
          <w:bCs/>
        </w:rPr>
        <w:t>）终止《基金合同》；</w:t>
      </w:r>
    </w:p>
    <w:p w14:paraId="53539A68"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）更换基金管理人；</w:t>
      </w:r>
    </w:p>
    <w:p w14:paraId="4957630B"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）更换基金托管人；</w:t>
      </w:r>
    </w:p>
    <w:p w14:paraId="387F7FFA"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）转换基金运作方式；</w:t>
      </w:r>
    </w:p>
    <w:p w14:paraId="0E5D71A4"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）调整基金管理人、基金托管人的报酬标准或提高销售服务费；</w:t>
      </w:r>
    </w:p>
    <w:p w14:paraId="31DD4F8F"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）变更基金类别；</w:t>
      </w:r>
    </w:p>
    <w:p w14:paraId="1241F685"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）本基金与其他基金的合并；</w:t>
      </w:r>
    </w:p>
    <w:p w14:paraId="079B106E" w14:textId="77777777" w:rsidR="00706097" w:rsidRDefault="00DA6858">
      <w:pPr>
        <w:snapToGrid w:val="0"/>
        <w:spacing w:line="360" w:lineRule="auto"/>
        <w:ind w:firstLineChars="200" w:firstLine="420"/>
        <w:rPr>
          <w:bCs/>
        </w:rPr>
      </w:pPr>
      <w:r>
        <w:rPr>
          <w:rFonts w:hint="eastAsia"/>
          <w:bCs/>
        </w:rPr>
        <w:t>（</w:t>
      </w:r>
      <w:r>
        <w:rPr>
          <w:rFonts w:hint="eastAsia"/>
          <w:bCs/>
        </w:rPr>
        <w:t>8</w:t>
      </w:r>
      <w:r>
        <w:rPr>
          <w:rFonts w:hint="eastAsia"/>
          <w:bCs/>
        </w:rPr>
        <w:t>）变更基金投资目标、范围或策略；</w:t>
      </w:r>
    </w:p>
    <w:p w14:paraId="62D203B5" w14:textId="77777777" w:rsidR="00706097" w:rsidRDefault="00DA6858">
      <w:pPr>
        <w:snapToGrid w:val="0"/>
        <w:spacing w:line="360" w:lineRule="auto"/>
        <w:ind w:firstLineChars="200" w:firstLine="420"/>
        <w:rPr>
          <w:bCs/>
        </w:rPr>
      </w:pPr>
      <w:r>
        <w:rPr>
          <w:rFonts w:hint="eastAsia"/>
          <w:bCs/>
        </w:rPr>
        <w:t>（</w:t>
      </w:r>
      <w:r>
        <w:rPr>
          <w:rFonts w:hint="eastAsia"/>
          <w:bCs/>
        </w:rPr>
        <w:t>9</w:t>
      </w:r>
      <w:r>
        <w:rPr>
          <w:rFonts w:hint="eastAsia"/>
          <w:bCs/>
        </w:rPr>
        <w:t>）变更基金份额持有人大会程序；</w:t>
      </w:r>
    </w:p>
    <w:p w14:paraId="2DE515FD" w14:textId="77777777" w:rsidR="00706097" w:rsidRDefault="00DA6858">
      <w:pPr>
        <w:snapToGrid w:val="0"/>
        <w:spacing w:line="360" w:lineRule="auto"/>
        <w:ind w:firstLineChars="200" w:firstLine="420"/>
        <w:rPr>
          <w:bCs/>
        </w:rPr>
      </w:pPr>
      <w:r>
        <w:rPr>
          <w:rFonts w:hint="eastAsia"/>
          <w:bCs/>
        </w:rPr>
        <w:t>（</w:t>
      </w:r>
      <w:r>
        <w:rPr>
          <w:rFonts w:hint="eastAsia"/>
          <w:bCs/>
        </w:rPr>
        <w:t>10</w:t>
      </w:r>
      <w:r>
        <w:rPr>
          <w:rFonts w:hint="eastAsia"/>
          <w:bCs/>
        </w:rPr>
        <w:t>）基金管理人或基金托管人要求召开基金份额持有人大会；</w:t>
      </w:r>
    </w:p>
    <w:p w14:paraId="48895F94" w14:textId="77777777" w:rsidR="00706097" w:rsidRDefault="00DA6858">
      <w:pPr>
        <w:snapToGrid w:val="0"/>
        <w:spacing w:line="360" w:lineRule="auto"/>
        <w:ind w:firstLineChars="200" w:firstLine="420"/>
        <w:rPr>
          <w:bCs/>
        </w:rPr>
      </w:pPr>
      <w:r>
        <w:rPr>
          <w:rFonts w:hint="eastAsia"/>
          <w:bCs/>
        </w:rPr>
        <w:t>（</w:t>
      </w:r>
      <w:r>
        <w:rPr>
          <w:rFonts w:hint="eastAsia"/>
          <w:bCs/>
        </w:rPr>
        <w:t>11</w:t>
      </w:r>
      <w:r>
        <w:rPr>
          <w:rFonts w:hint="eastAsia"/>
          <w:bCs/>
        </w:rPr>
        <w:t>）单独或合计持有本基金总份额</w:t>
      </w:r>
      <w:r>
        <w:rPr>
          <w:rFonts w:hint="eastAsia"/>
          <w:bCs/>
        </w:rPr>
        <w:t>10%</w:t>
      </w:r>
      <w:r>
        <w:rPr>
          <w:rFonts w:hint="eastAsia"/>
          <w:bCs/>
        </w:rPr>
        <w:t>以上（含</w:t>
      </w:r>
      <w:r>
        <w:rPr>
          <w:rFonts w:hint="eastAsia"/>
          <w:bCs/>
        </w:rPr>
        <w:t>10%</w:t>
      </w:r>
      <w:r>
        <w:rPr>
          <w:rFonts w:hint="eastAsia"/>
          <w:bCs/>
        </w:rPr>
        <w:t>）基金份额的基金份额持有人（以基金管理人收到提议当日的基金份额计算，下同）就同一事项书面要求召开基金份额持有人大会；</w:t>
      </w:r>
    </w:p>
    <w:p w14:paraId="59249458" w14:textId="77777777" w:rsidR="00706097" w:rsidRDefault="00DA6858">
      <w:pPr>
        <w:snapToGrid w:val="0"/>
        <w:spacing w:line="360" w:lineRule="auto"/>
        <w:ind w:firstLineChars="200" w:firstLine="420"/>
        <w:rPr>
          <w:bCs/>
        </w:rPr>
      </w:pPr>
      <w:r>
        <w:rPr>
          <w:rFonts w:hint="eastAsia"/>
          <w:bCs/>
        </w:rPr>
        <w:t>（</w:t>
      </w:r>
      <w:r>
        <w:rPr>
          <w:rFonts w:hint="eastAsia"/>
          <w:bCs/>
        </w:rPr>
        <w:t>12</w:t>
      </w:r>
      <w:r>
        <w:rPr>
          <w:rFonts w:hint="eastAsia"/>
          <w:bCs/>
        </w:rPr>
        <w:t>）对基金合同当事人权利和义务产生重大影响的其他事项；</w:t>
      </w:r>
    </w:p>
    <w:p w14:paraId="6B5BDD2A" w14:textId="77777777" w:rsidR="00706097" w:rsidRDefault="00DA6858">
      <w:pPr>
        <w:snapToGrid w:val="0"/>
        <w:spacing w:line="360" w:lineRule="auto"/>
        <w:ind w:firstLineChars="200" w:firstLine="420"/>
        <w:rPr>
          <w:bCs/>
        </w:rPr>
      </w:pPr>
      <w:r>
        <w:rPr>
          <w:rFonts w:hint="eastAsia"/>
          <w:bCs/>
        </w:rPr>
        <w:t>（</w:t>
      </w:r>
      <w:r>
        <w:rPr>
          <w:rFonts w:hint="eastAsia"/>
          <w:bCs/>
        </w:rPr>
        <w:t>13</w:t>
      </w:r>
      <w:r>
        <w:rPr>
          <w:rFonts w:hint="eastAsia"/>
          <w:bCs/>
        </w:rPr>
        <w:t>）法律法规、《基金合同》或中国证监会规定的其他应当召开基金份额持有人大会的事项。</w:t>
      </w:r>
    </w:p>
    <w:p w14:paraId="3E40955C" w14:textId="77777777" w:rsidR="00706097" w:rsidRDefault="00DA6858">
      <w:pPr>
        <w:snapToGrid w:val="0"/>
        <w:spacing w:line="360" w:lineRule="auto"/>
        <w:ind w:firstLineChars="200" w:firstLine="420"/>
        <w:rPr>
          <w:bCs/>
        </w:rPr>
      </w:pPr>
      <w:r>
        <w:rPr>
          <w:rFonts w:hint="eastAsia"/>
          <w:bCs/>
        </w:rPr>
        <w:t>2</w:t>
      </w:r>
      <w:r>
        <w:rPr>
          <w:rFonts w:hint="eastAsia"/>
          <w:bCs/>
        </w:rPr>
        <w:t>、在法律法规规定和《基金合同》约定的范围内且对基金份额持有人利益无实质性不利影响的前提下，以下情况可由基金管理人和基金托管人协商后修改，不需召开基金份额持有人大会：</w:t>
      </w:r>
    </w:p>
    <w:p w14:paraId="4EAEC310" w14:textId="77777777" w:rsidR="00706097" w:rsidRDefault="00DA6858">
      <w:pPr>
        <w:snapToGrid w:val="0"/>
        <w:spacing w:line="360" w:lineRule="auto"/>
        <w:ind w:firstLineChars="200" w:firstLine="420"/>
        <w:rPr>
          <w:bCs/>
        </w:rPr>
      </w:pPr>
      <w:r>
        <w:rPr>
          <w:rFonts w:hint="eastAsia"/>
          <w:bCs/>
        </w:rPr>
        <w:t>（</w:t>
      </w:r>
      <w:r>
        <w:rPr>
          <w:bCs/>
        </w:rPr>
        <w:t>1</w:t>
      </w:r>
      <w:r>
        <w:rPr>
          <w:rFonts w:hint="eastAsia"/>
          <w:bCs/>
        </w:rPr>
        <w:t>）法律法规要求增加的基金费用的收取；</w:t>
      </w:r>
    </w:p>
    <w:p w14:paraId="217E1215" w14:textId="77777777" w:rsidR="00706097" w:rsidRDefault="00DA6858">
      <w:pPr>
        <w:snapToGrid w:val="0"/>
        <w:spacing w:line="360" w:lineRule="auto"/>
        <w:ind w:firstLineChars="200" w:firstLine="420"/>
        <w:rPr>
          <w:bCs/>
        </w:rPr>
      </w:pPr>
      <w:r>
        <w:rPr>
          <w:rFonts w:hint="eastAsia"/>
          <w:bCs/>
        </w:rPr>
        <w:t>（</w:t>
      </w:r>
      <w:r>
        <w:rPr>
          <w:bCs/>
        </w:rPr>
        <w:t>2</w:t>
      </w:r>
      <w:r>
        <w:rPr>
          <w:rFonts w:hint="eastAsia"/>
          <w:bCs/>
        </w:rPr>
        <w:t>）</w:t>
      </w:r>
      <w:r>
        <w:rPr>
          <w:bCs/>
        </w:rPr>
        <w:t>在法律法规和《基金合同》规定的范围内</w:t>
      </w:r>
      <w:r>
        <w:rPr>
          <w:rFonts w:hint="eastAsia"/>
          <w:bCs/>
        </w:rPr>
        <w:t>调整本基金的申购费率、调低赎回费率、销售服务费率或变更收费方式；</w:t>
      </w:r>
    </w:p>
    <w:p w14:paraId="7C887E3A" w14:textId="77777777" w:rsidR="00706097" w:rsidRDefault="00DA6858">
      <w:pPr>
        <w:snapToGrid w:val="0"/>
        <w:spacing w:line="360" w:lineRule="auto"/>
        <w:ind w:firstLineChars="200" w:firstLine="420"/>
        <w:rPr>
          <w:bCs/>
        </w:rPr>
      </w:pPr>
      <w:r>
        <w:rPr>
          <w:rFonts w:hint="eastAsia"/>
          <w:bCs/>
        </w:rPr>
        <w:t>（</w:t>
      </w:r>
      <w:r>
        <w:rPr>
          <w:bCs/>
        </w:rPr>
        <w:t>3</w:t>
      </w:r>
      <w:r>
        <w:rPr>
          <w:rFonts w:hint="eastAsia"/>
          <w:bCs/>
        </w:rPr>
        <w:t>）</w:t>
      </w:r>
      <w:proofErr w:type="gramStart"/>
      <w:r>
        <w:rPr>
          <w:rFonts w:hint="eastAsia"/>
          <w:bCs/>
        </w:rPr>
        <w:t>因相应</w:t>
      </w:r>
      <w:proofErr w:type="gramEnd"/>
      <w:r>
        <w:rPr>
          <w:rFonts w:hint="eastAsia"/>
          <w:bCs/>
        </w:rPr>
        <w:t>的法律法规发生变动而应当对《基金合同》进行修改；</w:t>
      </w:r>
    </w:p>
    <w:p w14:paraId="1B5F65AB" w14:textId="77777777" w:rsidR="00706097" w:rsidRDefault="00DA6858">
      <w:pPr>
        <w:snapToGrid w:val="0"/>
        <w:spacing w:line="360" w:lineRule="auto"/>
        <w:ind w:firstLineChars="200" w:firstLine="420"/>
        <w:rPr>
          <w:bCs/>
        </w:rPr>
      </w:pPr>
      <w:r>
        <w:rPr>
          <w:rFonts w:hint="eastAsia"/>
          <w:bCs/>
        </w:rPr>
        <w:t>（</w:t>
      </w:r>
      <w:r>
        <w:rPr>
          <w:bCs/>
        </w:rPr>
        <w:t>4</w:t>
      </w:r>
      <w:r>
        <w:rPr>
          <w:rFonts w:hint="eastAsia"/>
          <w:bCs/>
        </w:rPr>
        <w:t>）对《基金合同》的修改对基金份额持有人利益无实质性不利影响或修改不涉及《基金合同》当事人权利义务关系发生重大变化；</w:t>
      </w:r>
    </w:p>
    <w:p w14:paraId="35CC087E" w14:textId="77777777" w:rsidR="00706097" w:rsidRDefault="00DA6858">
      <w:pPr>
        <w:snapToGrid w:val="0"/>
        <w:spacing w:line="360" w:lineRule="auto"/>
        <w:ind w:firstLineChars="200" w:firstLine="420"/>
        <w:rPr>
          <w:bCs/>
        </w:rPr>
      </w:pPr>
      <w:r>
        <w:rPr>
          <w:rFonts w:hint="eastAsia"/>
          <w:bCs/>
        </w:rPr>
        <w:t>（</w:t>
      </w:r>
      <w:r>
        <w:rPr>
          <w:bCs/>
        </w:rPr>
        <w:t>5</w:t>
      </w:r>
      <w:r>
        <w:rPr>
          <w:rFonts w:hint="eastAsia"/>
          <w:bCs/>
        </w:rPr>
        <w:t>）基金管理人、登记机构、基金销售机构调整有关认购、申购、赎回、转换、基金交易、</w:t>
      </w:r>
      <w:proofErr w:type="gramStart"/>
      <w:r>
        <w:rPr>
          <w:rFonts w:hint="eastAsia"/>
          <w:bCs/>
        </w:rPr>
        <w:t>非交易</w:t>
      </w:r>
      <w:proofErr w:type="gramEnd"/>
      <w:r>
        <w:rPr>
          <w:rFonts w:hint="eastAsia"/>
          <w:bCs/>
        </w:rPr>
        <w:t>过户、转托管等业务规则；</w:t>
      </w:r>
    </w:p>
    <w:p w14:paraId="6F6EAC87" w14:textId="77777777" w:rsidR="00706097" w:rsidRDefault="00DA6858">
      <w:pPr>
        <w:snapToGrid w:val="0"/>
        <w:spacing w:line="360" w:lineRule="auto"/>
        <w:ind w:firstLineChars="200" w:firstLine="420"/>
        <w:rPr>
          <w:bCs/>
        </w:rPr>
      </w:pPr>
      <w:r>
        <w:rPr>
          <w:rFonts w:hint="eastAsia"/>
          <w:bCs/>
        </w:rPr>
        <w:t>（</w:t>
      </w:r>
      <w:r>
        <w:rPr>
          <w:bCs/>
        </w:rPr>
        <w:t>6</w:t>
      </w:r>
      <w:r>
        <w:rPr>
          <w:rFonts w:hint="eastAsia"/>
          <w:bCs/>
        </w:rPr>
        <w:t>）基金推出新业务或服务；</w:t>
      </w:r>
    </w:p>
    <w:p w14:paraId="03DDA052" w14:textId="77777777" w:rsidR="00706097" w:rsidRDefault="00DA6858">
      <w:pPr>
        <w:snapToGrid w:val="0"/>
        <w:spacing w:line="360" w:lineRule="auto"/>
        <w:ind w:firstLineChars="200" w:firstLine="420"/>
        <w:rPr>
          <w:bCs/>
        </w:rPr>
      </w:pPr>
      <w:r>
        <w:rPr>
          <w:rFonts w:hint="eastAsia"/>
          <w:bCs/>
        </w:rPr>
        <w:t>（</w:t>
      </w:r>
      <w:r>
        <w:rPr>
          <w:bCs/>
        </w:rPr>
        <w:t>7</w:t>
      </w:r>
      <w:r>
        <w:rPr>
          <w:rFonts w:hint="eastAsia"/>
          <w:bCs/>
        </w:rPr>
        <w:t>）增加份额类别，或调整基金份额分类办法及规则；</w:t>
      </w:r>
      <w:r>
        <w:rPr>
          <w:rFonts w:hint="eastAsia"/>
          <w:bCs/>
        </w:rPr>
        <w:t xml:space="preserve"> </w:t>
      </w:r>
    </w:p>
    <w:p w14:paraId="685C2534" w14:textId="77777777" w:rsidR="00706097" w:rsidRDefault="00DA6858">
      <w:pPr>
        <w:snapToGrid w:val="0"/>
        <w:spacing w:line="360" w:lineRule="auto"/>
        <w:ind w:firstLineChars="200" w:firstLine="420"/>
        <w:rPr>
          <w:bCs/>
        </w:rPr>
      </w:pPr>
      <w:r>
        <w:rPr>
          <w:rFonts w:hint="eastAsia"/>
          <w:bCs/>
        </w:rPr>
        <w:t>（</w:t>
      </w:r>
      <w:r>
        <w:rPr>
          <w:bCs/>
        </w:rPr>
        <w:t>8</w:t>
      </w:r>
      <w:r>
        <w:rPr>
          <w:rFonts w:hint="eastAsia"/>
          <w:bCs/>
        </w:rPr>
        <w:t>）按照《基金合同》的约定，变更业绩比较基准；</w:t>
      </w:r>
    </w:p>
    <w:p w14:paraId="320C3DAB" w14:textId="77777777" w:rsidR="00706097" w:rsidRDefault="00DA6858">
      <w:pPr>
        <w:snapToGrid w:val="0"/>
        <w:spacing w:line="360" w:lineRule="auto"/>
        <w:ind w:firstLineChars="200" w:firstLine="420"/>
        <w:rPr>
          <w:bCs/>
        </w:rPr>
      </w:pPr>
      <w:r>
        <w:rPr>
          <w:rFonts w:hint="eastAsia"/>
          <w:bCs/>
        </w:rPr>
        <w:t>（</w:t>
      </w:r>
      <w:r>
        <w:rPr>
          <w:bCs/>
        </w:rPr>
        <w:t>9</w:t>
      </w:r>
      <w:r>
        <w:rPr>
          <w:rFonts w:hint="eastAsia"/>
          <w:bCs/>
        </w:rPr>
        <w:t>）</w:t>
      </w:r>
      <w:r>
        <w:rPr>
          <w:bCs/>
        </w:rPr>
        <w:t>按照法律法规和《基金合同》规定</w:t>
      </w:r>
      <w:r>
        <w:rPr>
          <w:rFonts w:hint="eastAsia"/>
          <w:bCs/>
        </w:rPr>
        <w:t>不需召开基金份额持有人大会的其他情形。</w:t>
      </w:r>
    </w:p>
    <w:p w14:paraId="1AA693AD" w14:textId="77777777" w:rsidR="00706097" w:rsidRDefault="00DA6858">
      <w:pPr>
        <w:snapToGrid w:val="0"/>
        <w:spacing w:line="360" w:lineRule="auto"/>
        <w:ind w:firstLineChars="200" w:firstLine="420"/>
        <w:rPr>
          <w:bCs/>
        </w:rPr>
      </w:pPr>
      <w:r>
        <w:rPr>
          <w:rFonts w:hint="eastAsia"/>
          <w:bCs/>
        </w:rPr>
        <w:t>（二）会议召集人及召集方式</w:t>
      </w:r>
    </w:p>
    <w:p w14:paraId="037C236D" w14:textId="77777777" w:rsidR="00706097" w:rsidRDefault="00DA6858">
      <w:pPr>
        <w:snapToGrid w:val="0"/>
        <w:spacing w:line="360" w:lineRule="auto"/>
        <w:ind w:firstLineChars="200" w:firstLine="420"/>
        <w:rPr>
          <w:bCs/>
        </w:rPr>
      </w:pPr>
      <w:r>
        <w:rPr>
          <w:rFonts w:hint="eastAsia"/>
          <w:bCs/>
        </w:rPr>
        <w:t>1</w:t>
      </w:r>
      <w:r>
        <w:rPr>
          <w:rFonts w:hint="eastAsia"/>
          <w:bCs/>
        </w:rPr>
        <w:t>、除法律法规规定或《基金合同》另有约定外，基金份额持有人大会由基金管理人召集。</w:t>
      </w:r>
    </w:p>
    <w:p w14:paraId="4C67BC54" w14:textId="77777777" w:rsidR="00706097" w:rsidRDefault="00DA6858">
      <w:pPr>
        <w:snapToGrid w:val="0"/>
        <w:spacing w:line="360" w:lineRule="auto"/>
        <w:ind w:firstLineChars="200" w:firstLine="420"/>
        <w:rPr>
          <w:bCs/>
        </w:rPr>
      </w:pPr>
      <w:r>
        <w:rPr>
          <w:rFonts w:hint="eastAsia"/>
          <w:bCs/>
        </w:rPr>
        <w:lastRenderedPageBreak/>
        <w:t>2</w:t>
      </w:r>
      <w:r>
        <w:rPr>
          <w:rFonts w:hint="eastAsia"/>
          <w:bCs/>
        </w:rPr>
        <w:t>、基金管理人未按规定召集或不能召集时，由基金托管人召集。</w:t>
      </w:r>
    </w:p>
    <w:p w14:paraId="42B0B10A" w14:textId="77777777" w:rsidR="00706097" w:rsidRDefault="00DA6858">
      <w:pPr>
        <w:snapToGrid w:val="0"/>
        <w:spacing w:line="360" w:lineRule="auto"/>
        <w:ind w:firstLineChars="200" w:firstLine="420"/>
        <w:rPr>
          <w:bCs/>
        </w:rPr>
      </w:pPr>
      <w:r>
        <w:rPr>
          <w:rFonts w:hint="eastAsia"/>
          <w:bCs/>
        </w:rPr>
        <w:t>3</w:t>
      </w:r>
      <w:r>
        <w:rPr>
          <w:rFonts w:hint="eastAsia"/>
          <w:bCs/>
        </w:rPr>
        <w:t>、基金托管人认为有必要召开基金份额持有人大会的，应当向基金管理人提出书面提议。基金管理人应当自收到书面提议之日起</w:t>
      </w:r>
      <w:r>
        <w:rPr>
          <w:rFonts w:hint="eastAsia"/>
          <w:bCs/>
        </w:rPr>
        <w:t>10</w:t>
      </w:r>
      <w:r>
        <w:rPr>
          <w:rFonts w:hint="eastAsia"/>
          <w:bCs/>
        </w:rPr>
        <w:t>日内决定是否召集，并书面告知基金托管人。基金管理人决定召集的，应当自出具书面决定之日起</w:t>
      </w:r>
      <w:r>
        <w:rPr>
          <w:rFonts w:hint="eastAsia"/>
          <w:bCs/>
        </w:rPr>
        <w:t>60</w:t>
      </w:r>
      <w:r>
        <w:rPr>
          <w:rFonts w:hint="eastAsia"/>
          <w:bCs/>
        </w:rPr>
        <w:t>日内召开；基金管理人决定不召集，基金托管人仍认为有必要召开的，应当由基金托管人自行召集，并自出具书面决定之日起六十日内召开并告知基金管理人，基金管理人应当配合。</w:t>
      </w:r>
    </w:p>
    <w:p w14:paraId="0F84B443" w14:textId="77777777" w:rsidR="00706097" w:rsidRDefault="00DA6858">
      <w:pPr>
        <w:snapToGrid w:val="0"/>
        <w:spacing w:line="360" w:lineRule="auto"/>
        <w:ind w:firstLineChars="200" w:firstLine="420"/>
        <w:rPr>
          <w:bCs/>
        </w:rPr>
      </w:pPr>
      <w:r>
        <w:rPr>
          <w:rFonts w:hint="eastAsia"/>
          <w:bCs/>
        </w:rPr>
        <w:t>4</w:t>
      </w:r>
      <w:r>
        <w:rPr>
          <w:rFonts w:hint="eastAsia"/>
          <w:bCs/>
        </w:rPr>
        <w:t>、代表基金份额</w:t>
      </w:r>
      <w:r>
        <w:rPr>
          <w:rFonts w:hint="eastAsia"/>
          <w:bCs/>
        </w:rPr>
        <w:t>10%</w:t>
      </w:r>
      <w:r>
        <w:rPr>
          <w:rFonts w:hint="eastAsia"/>
          <w:bCs/>
        </w:rPr>
        <w:t>以上（含</w:t>
      </w:r>
      <w:r>
        <w:rPr>
          <w:rFonts w:hint="eastAsia"/>
          <w:bCs/>
        </w:rPr>
        <w:t>10%</w:t>
      </w:r>
      <w:r>
        <w:rPr>
          <w:rFonts w:hint="eastAsia"/>
          <w:bCs/>
        </w:rPr>
        <w:t>）的基金份额持有人就同一事项书面要求召开基金份额持有人大会，应当向基金管理人提出书面提议。基金管理人应当自收到书面提议之日起</w:t>
      </w:r>
      <w:r>
        <w:rPr>
          <w:rFonts w:hint="eastAsia"/>
          <w:bCs/>
        </w:rPr>
        <w:t>10</w:t>
      </w:r>
      <w:r>
        <w:rPr>
          <w:rFonts w:hint="eastAsia"/>
          <w:bCs/>
        </w:rPr>
        <w:t>日内决定是否召集，并书面告知提出提议的基金份额持有人代表和基金托管人。基金管理人决定召集的，应当自出具书面决定之日起</w:t>
      </w:r>
      <w:r>
        <w:rPr>
          <w:rFonts w:hint="eastAsia"/>
          <w:bCs/>
        </w:rPr>
        <w:t>60</w:t>
      </w:r>
      <w:r>
        <w:rPr>
          <w:rFonts w:hint="eastAsia"/>
          <w:bCs/>
        </w:rPr>
        <w:t>日内召开；基金管理人决定不召集，代表基金份额</w:t>
      </w:r>
      <w:r>
        <w:rPr>
          <w:rFonts w:hint="eastAsia"/>
          <w:bCs/>
        </w:rPr>
        <w:t>10%</w:t>
      </w:r>
      <w:r>
        <w:rPr>
          <w:rFonts w:hint="eastAsia"/>
          <w:bCs/>
        </w:rPr>
        <w:t>以上（含</w:t>
      </w:r>
      <w:r>
        <w:rPr>
          <w:rFonts w:hint="eastAsia"/>
          <w:bCs/>
        </w:rPr>
        <w:t>10%</w:t>
      </w:r>
      <w:r>
        <w:rPr>
          <w:rFonts w:hint="eastAsia"/>
          <w:bCs/>
        </w:rPr>
        <w:t>）的基金份额持有人仍认为有必要召开的，应当向基金托管人提出书面提议。基金托管人应当自收到书面提议之日起</w:t>
      </w:r>
      <w:r>
        <w:rPr>
          <w:rFonts w:hint="eastAsia"/>
          <w:bCs/>
        </w:rPr>
        <w:t>10</w:t>
      </w:r>
      <w:r>
        <w:rPr>
          <w:rFonts w:hint="eastAsia"/>
          <w:bCs/>
        </w:rPr>
        <w:t>日内决定是否召集，并书面告知提出提议的基金份额持有人代表和基金管理人；基金托管人决定召集的，应当自出具书面决定之日起</w:t>
      </w:r>
      <w:r>
        <w:rPr>
          <w:rFonts w:hint="eastAsia"/>
          <w:bCs/>
        </w:rPr>
        <w:t>60</w:t>
      </w:r>
      <w:r>
        <w:rPr>
          <w:rFonts w:hint="eastAsia"/>
          <w:bCs/>
        </w:rPr>
        <w:t>日内召开并告知基金管理人，基金管理人应当配合。</w:t>
      </w:r>
    </w:p>
    <w:p w14:paraId="710429D5" w14:textId="77777777" w:rsidR="00706097" w:rsidRDefault="00DA6858">
      <w:pPr>
        <w:snapToGrid w:val="0"/>
        <w:spacing w:line="360" w:lineRule="auto"/>
        <w:ind w:firstLineChars="200" w:firstLine="420"/>
        <w:rPr>
          <w:bCs/>
        </w:rPr>
      </w:pPr>
      <w:r>
        <w:rPr>
          <w:rFonts w:hint="eastAsia"/>
          <w:bCs/>
        </w:rPr>
        <w:t>5</w:t>
      </w:r>
      <w:r>
        <w:rPr>
          <w:rFonts w:hint="eastAsia"/>
          <w:bCs/>
        </w:rPr>
        <w:t>、代表基金份额</w:t>
      </w:r>
      <w:r>
        <w:rPr>
          <w:rFonts w:hint="eastAsia"/>
          <w:bCs/>
        </w:rPr>
        <w:t>10%</w:t>
      </w:r>
      <w:r>
        <w:rPr>
          <w:rFonts w:hint="eastAsia"/>
          <w:bCs/>
        </w:rPr>
        <w:t>以上（含</w:t>
      </w:r>
      <w:r>
        <w:rPr>
          <w:rFonts w:hint="eastAsia"/>
          <w:bCs/>
        </w:rPr>
        <w:t>10%</w:t>
      </w:r>
      <w:r>
        <w:rPr>
          <w:rFonts w:hint="eastAsia"/>
          <w:bCs/>
        </w:rPr>
        <w:t>）的基金份额持有人就同一事项要求召开基金份额持有人大会，而基金管理人、基金托管人都不召集的，单独或合计代表基金份额</w:t>
      </w:r>
      <w:r>
        <w:rPr>
          <w:rFonts w:hint="eastAsia"/>
          <w:bCs/>
        </w:rPr>
        <w:t>10%</w:t>
      </w:r>
      <w:r>
        <w:rPr>
          <w:rFonts w:hint="eastAsia"/>
          <w:bCs/>
        </w:rPr>
        <w:t>以上（含</w:t>
      </w:r>
      <w:r>
        <w:rPr>
          <w:rFonts w:hint="eastAsia"/>
          <w:bCs/>
        </w:rPr>
        <w:t>10%</w:t>
      </w:r>
      <w:r>
        <w:rPr>
          <w:rFonts w:hint="eastAsia"/>
          <w:bCs/>
        </w:rPr>
        <w:t>）的基金份额持有人有权自行召集，并至少提前</w:t>
      </w:r>
      <w:r>
        <w:rPr>
          <w:rFonts w:hint="eastAsia"/>
          <w:bCs/>
        </w:rPr>
        <w:t>30</w:t>
      </w:r>
      <w:r>
        <w:rPr>
          <w:rFonts w:hint="eastAsia"/>
          <w:bCs/>
        </w:rPr>
        <w:t>日报中国证监会备案。基金份额持有人依法自行召集基金份额持有人大会的，基金管理人、基金托管人应当配合，不得阻碍、干扰。</w:t>
      </w:r>
    </w:p>
    <w:p w14:paraId="47C5B2C2" w14:textId="77777777" w:rsidR="00706097" w:rsidRDefault="00DA6858">
      <w:pPr>
        <w:snapToGrid w:val="0"/>
        <w:spacing w:line="360" w:lineRule="auto"/>
        <w:ind w:firstLineChars="200" w:firstLine="420"/>
        <w:rPr>
          <w:bCs/>
        </w:rPr>
      </w:pPr>
      <w:r>
        <w:rPr>
          <w:rFonts w:hint="eastAsia"/>
          <w:bCs/>
        </w:rPr>
        <w:t>6</w:t>
      </w:r>
      <w:r>
        <w:rPr>
          <w:rFonts w:hint="eastAsia"/>
          <w:bCs/>
        </w:rPr>
        <w:t>、基金份额持有人会议的召集人负责选择确定开会时间、地点、方式和权益登记日。</w:t>
      </w:r>
    </w:p>
    <w:p w14:paraId="0667A95A" w14:textId="77777777" w:rsidR="00706097" w:rsidRDefault="00DA6858">
      <w:pPr>
        <w:snapToGrid w:val="0"/>
        <w:spacing w:line="360" w:lineRule="auto"/>
        <w:ind w:firstLineChars="200" w:firstLine="420"/>
        <w:rPr>
          <w:bCs/>
        </w:rPr>
      </w:pPr>
      <w:r>
        <w:rPr>
          <w:rFonts w:hint="eastAsia"/>
          <w:bCs/>
        </w:rPr>
        <w:t>（三）召开基金份额持有人大会的通知时间、通知内容、通知方式</w:t>
      </w:r>
    </w:p>
    <w:p w14:paraId="51D89240" w14:textId="77777777" w:rsidR="00706097" w:rsidRDefault="00DA6858">
      <w:pPr>
        <w:snapToGrid w:val="0"/>
        <w:spacing w:line="360" w:lineRule="auto"/>
        <w:ind w:firstLineChars="200" w:firstLine="420"/>
        <w:rPr>
          <w:bCs/>
        </w:rPr>
      </w:pPr>
      <w:r>
        <w:rPr>
          <w:rFonts w:hint="eastAsia"/>
          <w:bCs/>
        </w:rPr>
        <w:t>1</w:t>
      </w:r>
      <w:r>
        <w:rPr>
          <w:rFonts w:hint="eastAsia"/>
          <w:bCs/>
        </w:rPr>
        <w:t>、召开基金份额持有人大会，召集人应于会议召开前</w:t>
      </w:r>
      <w:r>
        <w:rPr>
          <w:rFonts w:hint="eastAsia"/>
          <w:bCs/>
        </w:rPr>
        <w:t>30</w:t>
      </w:r>
      <w:r>
        <w:rPr>
          <w:rFonts w:hint="eastAsia"/>
          <w:bCs/>
        </w:rPr>
        <w:t>日，在指定媒介公告。基金份额持有人大会通知应至少载明以下内容：</w:t>
      </w:r>
    </w:p>
    <w:p w14:paraId="7C6F6FB2"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）会议召开的时间、地点和会议形式；</w:t>
      </w:r>
    </w:p>
    <w:p w14:paraId="5A1D06AF"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）会议</w:t>
      </w:r>
      <w:proofErr w:type="gramStart"/>
      <w:r>
        <w:rPr>
          <w:rFonts w:hint="eastAsia"/>
          <w:bCs/>
        </w:rPr>
        <w:t>拟审议</w:t>
      </w:r>
      <w:proofErr w:type="gramEnd"/>
      <w:r>
        <w:rPr>
          <w:rFonts w:hint="eastAsia"/>
          <w:bCs/>
        </w:rPr>
        <w:t>的事项、议事程序和表决方式；</w:t>
      </w:r>
    </w:p>
    <w:p w14:paraId="26964DB4"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）有权出席基金份额持有人大会的基金份额持有人的权益登记日；</w:t>
      </w:r>
    </w:p>
    <w:p w14:paraId="6F2FBBF8"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）授权委托证明的内容要求（包括但不限于代理人身份，代理权限和代理有效期限等）、送达时间和地点；</w:t>
      </w:r>
    </w:p>
    <w:p w14:paraId="154B012C"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）会务常设联系人姓名及联系电话；</w:t>
      </w:r>
    </w:p>
    <w:p w14:paraId="7978B3FF"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）出席会议者必须准备的文件和必须履行的手续；</w:t>
      </w:r>
    </w:p>
    <w:p w14:paraId="269E34A0"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）召集人需要通知的其他事项。</w:t>
      </w:r>
    </w:p>
    <w:p w14:paraId="1E55A2B0" w14:textId="77777777" w:rsidR="00706097" w:rsidRDefault="00DA6858">
      <w:pPr>
        <w:snapToGrid w:val="0"/>
        <w:spacing w:line="360" w:lineRule="auto"/>
        <w:ind w:firstLineChars="200" w:firstLine="420"/>
        <w:rPr>
          <w:bCs/>
        </w:rPr>
      </w:pPr>
      <w:r>
        <w:rPr>
          <w:rFonts w:hint="eastAsia"/>
          <w:bCs/>
        </w:rPr>
        <w:t>2</w:t>
      </w:r>
      <w:r>
        <w:rPr>
          <w:rFonts w:hint="eastAsia"/>
          <w:bCs/>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64EF521" w14:textId="77777777" w:rsidR="00706097" w:rsidRDefault="00DA6858">
      <w:pPr>
        <w:snapToGrid w:val="0"/>
        <w:spacing w:line="360" w:lineRule="auto"/>
        <w:ind w:firstLineChars="200" w:firstLine="420"/>
        <w:rPr>
          <w:bCs/>
        </w:rPr>
      </w:pPr>
      <w:r>
        <w:rPr>
          <w:rFonts w:hint="eastAsia"/>
          <w:bCs/>
        </w:rPr>
        <w:lastRenderedPageBreak/>
        <w:t>3</w:t>
      </w:r>
      <w:r>
        <w:rPr>
          <w:rFonts w:hint="eastAsia"/>
          <w:bCs/>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rPr>
        <w:t>拒不派</w:t>
      </w:r>
      <w:proofErr w:type="gramEnd"/>
      <w:r>
        <w:rPr>
          <w:rFonts w:hint="eastAsia"/>
          <w:bCs/>
        </w:rPr>
        <w:t>代表对表决意见的计票进行监督的，不影响表决意见的计票效力。</w:t>
      </w:r>
    </w:p>
    <w:p w14:paraId="2E1EDFDC" w14:textId="77777777" w:rsidR="00706097" w:rsidRDefault="00DA6858">
      <w:pPr>
        <w:snapToGrid w:val="0"/>
        <w:spacing w:line="360" w:lineRule="auto"/>
        <w:ind w:firstLineChars="200" w:firstLine="420"/>
        <w:rPr>
          <w:bCs/>
        </w:rPr>
      </w:pPr>
      <w:r>
        <w:rPr>
          <w:rFonts w:hint="eastAsia"/>
          <w:bCs/>
        </w:rPr>
        <w:t>（四）基金份额持有人出席会议的方式</w:t>
      </w:r>
    </w:p>
    <w:p w14:paraId="717ED1D6" w14:textId="77777777" w:rsidR="00706097" w:rsidRDefault="00DA6858">
      <w:pPr>
        <w:snapToGrid w:val="0"/>
        <w:spacing w:line="360" w:lineRule="auto"/>
        <w:ind w:firstLineChars="200" w:firstLine="420"/>
        <w:rPr>
          <w:bCs/>
        </w:rPr>
      </w:pPr>
      <w:r>
        <w:rPr>
          <w:rFonts w:hint="eastAsia"/>
          <w:bCs/>
        </w:rPr>
        <w:t>基金份额持有人大会可通过现场开会方式、通讯开会方式或法律法规、监管机构允许的其他方式召开，会议的召开方式由会议召集人确定。</w:t>
      </w:r>
    </w:p>
    <w:p w14:paraId="2944F38F" w14:textId="77777777" w:rsidR="00706097" w:rsidRDefault="00DA6858">
      <w:pPr>
        <w:snapToGrid w:val="0"/>
        <w:spacing w:line="360" w:lineRule="auto"/>
        <w:ind w:firstLineChars="200" w:firstLine="420"/>
        <w:rPr>
          <w:bCs/>
        </w:rPr>
      </w:pPr>
      <w:r>
        <w:rPr>
          <w:rFonts w:hint="eastAsia"/>
          <w:bCs/>
        </w:rPr>
        <w:t>1</w:t>
      </w:r>
      <w:r>
        <w:rPr>
          <w:rFonts w:hint="eastAsia"/>
          <w:bCs/>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5406F51" w14:textId="77777777" w:rsidR="00706097" w:rsidRDefault="00DA6858">
      <w:pPr>
        <w:snapToGrid w:val="0"/>
        <w:spacing w:line="360" w:lineRule="auto"/>
        <w:ind w:firstLineChars="200" w:firstLine="420"/>
        <w:rPr>
          <w:bCs/>
        </w:rPr>
      </w:pPr>
      <w:r>
        <w:rPr>
          <w:rFonts w:hint="eastAsia"/>
          <w:bCs/>
        </w:rPr>
        <w:t>（</w:t>
      </w:r>
      <w:r>
        <w:rPr>
          <w:bCs/>
        </w:rPr>
        <w:t>1</w:t>
      </w:r>
      <w:r>
        <w:rPr>
          <w:bCs/>
        </w:rPr>
        <w:t>）亲自出席会议者持有</w:t>
      </w:r>
      <w:r>
        <w:rPr>
          <w:rFonts w:hint="eastAsia"/>
          <w:bCs/>
        </w:rPr>
        <w:t>基金份额</w:t>
      </w:r>
      <w:r>
        <w:rPr>
          <w:bCs/>
        </w:rPr>
        <w:t>的</w:t>
      </w:r>
      <w:r>
        <w:rPr>
          <w:rFonts w:hint="eastAsia"/>
          <w:bCs/>
        </w:rPr>
        <w:t>凭证</w:t>
      </w:r>
      <w:r>
        <w:rPr>
          <w:bCs/>
        </w:rPr>
        <w:t>、受托出席会议者</w:t>
      </w:r>
      <w:r>
        <w:rPr>
          <w:rFonts w:hint="eastAsia"/>
          <w:bCs/>
        </w:rPr>
        <w:t>出具</w:t>
      </w:r>
      <w:r>
        <w:rPr>
          <w:bCs/>
        </w:rPr>
        <w:t>的委托人</w:t>
      </w:r>
      <w:r>
        <w:rPr>
          <w:rFonts w:hint="eastAsia"/>
          <w:bCs/>
        </w:rPr>
        <w:t>持有基金份额的凭证及委托人</w:t>
      </w:r>
      <w:r>
        <w:rPr>
          <w:bCs/>
        </w:rPr>
        <w:t>的代理投票授权委托证明符合法律法规、《基金合同》</w:t>
      </w:r>
      <w:r>
        <w:rPr>
          <w:rFonts w:hint="eastAsia"/>
          <w:bCs/>
        </w:rPr>
        <w:t>和会议通知的规定，并且持有基金份额的凭证与基金管理人持有的登记资料相符；</w:t>
      </w:r>
    </w:p>
    <w:p w14:paraId="23FB6360" w14:textId="77777777" w:rsidR="00706097" w:rsidRDefault="00DA6858">
      <w:pPr>
        <w:snapToGrid w:val="0"/>
        <w:spacing w:line="360" w:lineRule="auto"/>
        <w:ind w:firstLineChars="200" w:firstLine="420"/>
        <w:rPr>
          <w:bCs/>
        </w:rPr>
      </w:pPr>
      <w:r>
        <w:rPr>
          <w:rFonts w:hint="eastAsia"/>
          <w:bCs/>
        </w:rPr>
        <w:t>（</w:t>
      </w:r>
      <w:r>
        <w:rPr>
          <w:bCs/>
        </w:rPr>
        <w:t>2</w:t>
      </w:r>
      <w:r>
        <w:rPr>
          <w:bCs/>
        </w:rPr>
        <w:t>）经核对，</w:t>
      </w:r>
      <w:r>
        <w:rPr>
          <w:rFonts w:hint="eastAsia"/>
          <w:bCs/>
        </w:rPr>
        <w:t>汇总</w:t>
      </w:r>
      <w:r>
        <w:rPr>
          <w:bCs/>
        </w:rPr>
        <w:t>到会者</w:t>
      </w:r>
      <w:r>
        <w:rPr>
          <w:rFonts w:hint="eastAsia"/>
          <w:bCs/>
        </w:rPr>
        <w:t>出示的</w:t>
      </w:r>
      <w:r>
        <w:rPr>
          <w:bCs/>
        </w:rPr>
        <w:t>在权益登记日</w:t>
      </w:r>
      <w:r>
        <w:rPr>
          <w:rFonts w:hint="eastAsia"/>
          <w:bCs/>
        </w:rPr>
        <w:t>持有基金份额</w:t>
      </w:r>
      <w:r>
        <w:rPr>
          <w:bCs/>
        </w:rPr>
        <w:t>的</w:t>
      </w:r>
      <w:r>
        <w:rPr>
          <w:rFonts w:hint="eastAsia"/>
          <w:bCs/>
        </w:rPr>
        <w:t>凭证显示，</w:t>
      </w:r>
      <w:r>
        <w:rPr>
          <w:bCs/>
        </w:rPr>
        <w:t>有效的基金份额不少于本基金在权益登记日基金总份额的二分之一（含二分之一）。</w:t>
      </w:r>
      <w:r>
        <w:rPr>
          <w:rFonts w:hint="eastAsia"/>
          <w:bCs/>
        </w:rPr>
        <w:t>若到会者在权益登记日代表的有效的基金份额少于本基金在权益登记日基金总份额的二分之一，召集人可以在原公告的基金份额持有人大会召开时间的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7E201165" w14:textId="77777777" w:rsidR="00706097" w:rsidRDefault="00DA6858">
      <w:pPr>
        <w:snapToGrid w:val="0"/>
        <w:spacing w:line="360" w:lineRule="auto"/>
        <w:ind w:firstLineChars="200" w:firstLine="420"/>
        <w:rPr>
          <w:bCs/>
        </w:rPr>
      </w:pPr>
      <w:r>
        <w:rPr>
          <w:bCs/>
        </w:rPr>
        <w:t>2</w:t>
      </w:r>
      <w:r>
        <w:rPr>
          <w:bCs/>
        </w:rPr>
        <w:t>、通讯开会。通讯开会系指基金份额持有人将其对表决事项的投票以书面形式</w:t>
      </w:r>
      <w:r>
        <w:rPr>
          <w:rFonts w:hint="eastAsia"/>
          <w:bCs/>
        </w:rPr>
        <w:t>或基金合同约定的其他方式</w:t>
      </w:r>
      <w:r>
        <w:rPr>
          <w:bCs/>
        </w:rPr>
        <w:t>在表决截</w:t>
      </w:r>
      <w:r>
        <w:rPr>
          <w:rFonts w:hint="eastAsia"/>
          <w:bCs/>
        </w:rPr>
        <w:t>止</w:t>
      </w:r>
      <w:r>
        <w:rPr>
          <w:bCs/>
        </w:rPr>
        <w:t>日以前送达至召集人指定的地址。通讯开会应以书面</w:t>
      </w:r>
      <w:r>
        <w:rPr>
          <w:rFonts w:hint="eastAsia"/>
          <w:bCs/>
        </w:rPr>
        <w:t>方式或基金合同约定的其他</w:t>
      </w:r>
      <w:r>
        <w:rPr>
          <w:bCs/>
        </w:rPr>
        <w:t>方式进行表决。</w:t>
      </w:r>
    </w:p>
    <w:p w14:paraId="2F484063" w14:textId="77777777" w:rsidR="00706097" w:rsidRDefault="00DA6858">
      <w:pPr>
        <w:snapToGrid w:val="0"/>
        <w:spacing w:line="360" w:lineRule="auto"/>
        <w:ind w:firstLineChars="200" w:firstLine="420"/>
        <w:rPr>
          <w:bCs/>
        </w:rPr>
      </w:pPr>
      <w:r>
        <w:rPr>
          <w:rFonts w:hint="eastAsia"/>
          <w:bCs/>
        </w:rPr>
        <w:t>在同时符合以下条件时，通讯开会的方式视为有效：</w:t>
      </w:r>
    </w:p>
    <w:p w14:paraId="01DAD0A3"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）会议召集人按《基金合同》约定公布会议通知后，在</w:t>
      </w:r>
      <w:r>
        <w:rPr>
          <w:rFonts w:hint="eastAsia"/>
          <w:bCs/>
        </w:rPr>
        <w:t>2</w:t>
      </w:r>
      <w:r>
        <w:rPr>
          <w:rFonts w:hint="eastAsia"/>
          <w:bCs/>
        </w:rPr>
        <w:t>个工作日内连续公布相关提示性公告；</w:t>
      </w:r>
    </w:p>
    <w:p w14:paraId="4282B94F"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C0BD91B"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）本人直接出具表决意见或授权他人代表出具表决意见的，基金份额持有人所持有的基金份额不小于在权益登记日基金总份额的二分之一（含二分之一）；</w:t>
      </w:r>
    </w:p>
    <w:p w14:paraId="5D949D46" w14:textId="77777777" w:rsidR="00706097" w:rsidRDefault="00DA6858">
      <w:pPr>
        <w:snapToGrid w:val="0"/>
        <w:spacing w:line="360" w:lineRule="auto"/>
        <w:ind w:firstLineChars="200" w:firstLine="420"/>
        <w:rPr>
          <w:bCs/>
        </w:rPr>
      </w:pPr>
      <w:r>
        <w:rPr>
          <w:rFonts w:hint="eastAsia"/>
          <w:bCs/>
        </w:rPr>
        <w:t>若本人直接出具表决意见或授权他人代表出具表决意见基金份额持有人所持有的基金</w:t>
      </w:r>
      <w:r>
        <w:rPr>
          <w:rFonts w:hint="eastAsia"/>
          <w:bCs/>
        </w:rPr>
        <w:lastRenderedPageBreak/>
        <w:t>份额小于在权益登记日基金总份额的二分之一，召集人可以在原公告的基金份额持有人大会召开时间的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个月以内，就原定审议事项重新召集基金份额持有人大会。重新召集的基金份额持有人大会应当有代表三分之一以上（含三分之一）基金份额的持有人直接出具表决意见或授权他人代表出具表决意见；</w:t>
      </w:r>
    </w:p>
    <w:p w14:paraId="296276AD" w14:textId="77777777" w:rsidR="00706097" w:rsidRDefault="00DA6858">
      <w:pPr>
        <w:snapToGrid w:val="0"/>
        <w:spacing w:line="360" w:lineRule="auto"/>
        <w:ind w:firstLineChars="200" w:firstLine="420"/>
        <w:rPr>
          <w:bCs/>
        </w:rPr>
      </w:pPr>
      <w:r>
        <w:rPr>
          <w:rFonts w:hint="eastAsia"/>
          <w:bCs/>
        </w:rPr>
        <w:t>（</w:t>
      </w:r>
      <w:r>
        <w:rPr>
          <w:bCs/>
        </w:rPr>
        <w:t>4</w:t>
      </w:r>
      <w:r>
        <w:rPr>
          <w:bCs/>
        </w:rPr>
        <w:t>）上述第（</w:t>
      </w:r>
      <w:r>
        <w:rPr>
          <w:bCs/>
        </w:rPr>
        <w:t>3</w:t>
      </w:r>
      <w:r>
        <w:rPr>
          <w:bCs/>
        </w:rPr>
        <w:t>）项中直接出具</w:t>
      </w:r>
      <w:r>
        <w:rPr>
          <w:rFonts w:hint="eastAsia"/>
          <w:bCs/>
        </w:rPr>
        <w:t>表决</w:t>
      </w:r>
      <w:r>
        <w:rPr>
          <w:bCs/>
        </w:rPr>
        <w:t>意见的基金份额持有人或受托代表他人出具</w:t>
      </w:r>
      <w:r>
        <w:rPr>
          <w:rFonts w:hint="eastAsia"/>
          <w:bCs/>
        </w:rPr>
        <w:t>表决</w:t>
      </w:r>
      <w:r>
        <w:rPr>
          <w:bCs/>
        </w:rPr>
        <w:t>意见的代理人，同时提交的</w:t>
      </w:r>
      <w:r>
        <w:rPr>
          <w:rFonts w:hint="eastAsia"/>
          <w:bCs/>
        </w:rPr>
        <w:t>持有基金份额的凭证</w:t>
      </w:r>
      <w:r>
        <w:rPr>
          <w:bCs/>
        </w:rPr>
        <w:t>、受托出具</w:t>
      </w:r>
      <w:r>
        <w:rPr>
          <w:rFonts w:hint="eastAsia"/>
          <w:bCs/>
        </w:rPr>
        <w:t>表决</w:t>
      </w:r>
      <w:r>
        <w:rPr>
          <w:bCs/>
        </w:rPr>
        <w:t>意见的代理人</w:t>
      </w:r>
      <w:r>
        <w:rPr>
          <w:rFonts w:hint="eastAsia"/>
          <w:bCs/>
        </w:rPr>
        <w:t>出具</w:t>
      </w:r>
      <w:r>
        <w:rPr>
          <w:bCs/>
        </w:rPr>
        <w:t>的委托人</w:t>
      </w:r>
      <w:r>
        <w:rPr>
          <w:rFonts w:hint="eastAsia"/>
          <w:bCs/>
        </w:rPr>
        <w:t>持有基金份额的凭证及委托人</w:t>
      </w:r>
      <w:r>
        <w:rPr>
          <w:bCs/>
        </w:rPr>
        <w:t>的代理投票授权委托证明符合法律法规、《基金合同》和会议通知的规定，并与基金登记机构记录相符。</w:t>
      </w:r>
    </w:p>
    <w:p w14:paraId="416F8212" w14:textId="77777777" w:rsidR="00706097" w:rsidRDefault="00DA6858">
      <w:pPr>
        <w:snapToGrid w:val="0"/>
        <w:spacing w:line="360" w:lineRule="auto"/>
        <w:ind w:firstLineChars="200" w:firstLine="420"/>
        <w:rPr>
          <w:bCs/>
        </w:rPr>
      </w:pPr>
      <w:r>
        <w:rPr>
          <w:bCs/>
        </w:rPr>
        <w:t>3</w:t>
      </w:r>
      <w:r>
        <w:rPr>
          <w:rFonts w:hint="eastAsia"/>
          <w:bCs/>
        </w:rPr>
        <w:t>、在不与法律法规冲突的前提下，基金份额持有人大会可通过网络、电话或其他方式召开，基金份额持有人可以采用书面、网络、电话、短信或其他方式进行表决，具体方式由会议召集人确定并在会议通知中列明。</w:t>
      </w:r>
    </w:p>
    <w:p w14:paraId="6DDDC15B" w14:textId="77777777" w:rsidR="00706097" w:rsidRDefault="00DA6858">
      <w:pPr>
        <w:snapToGrid w:val="0"/>
        <w:spacing w:line="360" w:lineRule="auto"/>
        <w:ind w:firstLineChars="200" w:firstLine="420"/>
        <w:rPr>
          <w:bCs/>
        </w:rPr>
      </w:pPr>
      <w:r>
        <w:rPr>
          <w:bCs/>
        </w:rPr>
        <w:t>4</w:t>
      </w:r>
      <w:r>
        <w:rPr>
          <w:rFonts w:hint="eastAsia"/>
          <w:bCs/>
        </w:rPr>
        <w:t>、基金份额持有人授权他人代为出席会议并表决的，授权方式可以采用书面、网络、电话、短信或其他方式，具体方式由会议召集人确定并在会议通知中列明。</w:t>
      </w:r>
    </w:p>
    <w:p w14:paraId="6F4FB193" w14:textId="77777777" w:rsidR="00706097" w:rsidRDefault="00DA6858">
      <w:pPr>
        <w:snapToGrid w:val="0"/>
        <w:spacing w:line="360" w:lineRule="auto"/>
        <w:ind w:firstLineChars="200" w:firstLine="420"/>
        <w:rPr>
          <w:bCs/>
        </w:rPr>
      </w:pPr>
      <w:r>
        <w:rPr>
          <w:rFonts w:hint="eastAsia"/>
          <w:bCs/>
        </w:rPr>
        <w:t>（五）议事内容与程序</w:t>
      </w:r>
    </w:p>
    <w:p w14:paraId="5F5C356F" w14:textId="77777777" w:rsidR="00706097" w:rsidRDefault="00DA6858">
      <w:pPr>
        <w:snapToGrid w:val="0"/>
        <w:spacing w:line="360" w:lineRule="auto"/>
        <w:ind w:firstLineChars="200" w:firstLine="420"/>
        <w:rPr>
          <w:bCs/>
        </w:rPr>
      </w:pPr>
      <w:r>
        <w:rPr>
          <w:rFonts w:hint="eastAsia"/>
          <w:bCs/>
        </w:rPr>
        <w:t>1</w:t>
      </w:r>
      <w:r>
        <w:rPr>
          <w:rFonts w:hint="eastAsia"/>
          <w:bCs/>
        </w:rPr>
        <w:t>、议事内容及提案权</w:t>
      </w:r>
    </w:p>
    <w:p w14:paraId="6F7AC5DA" w14:textId="77777777" w:rsidR="00706097" w:rsidRDefault="00DA6858">
      <w:pPr>
        <w:snapToGrid w:val="0"/>
        <w:spacing w:line="360" w:lineRule="auto"/>
        <w:ind w:firstLineChars="200" w:firstLine="420"/>
        <w:rPr>
          <w:bCs/>
        </w:rPr>
      </w:pPr>
      <w:r>
        <w:rPr>
          <w:rFonts w:hint="eastAsia"/>
          <w:bCs/>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40536ED" w14:textId="77777777" w:rsidR="00706097" w:rsidRDefault="00DA6858">
      <w:pPr>
        <w:snapToGrid w:val="0"/>
        <w:spacing w:line="360" w:lineRule="auto"/>
        <w:ind w:firstLineChars="200" w:firstLine="420"/>
        <w:rPr>
          <w:bCs/>
        </w:rPr>
      </w:pPr>
      <w:r>
        <w:rPr>
          <w:rFonts w:hint="eastAsia"/>
          <w:bCs/>
        </w:rPr>
        <w:t>基金份额持有人大会的召集人发出召集会议的通知后，对原有提案的修改应当在基金份额持有人大会召开前及时公告。</w:t>
      </w:r>
    </w:p>
    <w:p w14:paraId="67191051" w14:textId="77777777" w:rsidR="00706097" w:rsidRDefault="00DA6858">
      <w:pPr>
        <w:snapToGrid w:val="0"/>
        <w:spacing w:line="360" w:lineRule="auto"/>
        <w:ind w:firstLineChars="200" w:firstLine="420"/>
        <w:rPr>
          <w:bCs/>
        </w:rPr>
      </w:pPr>
      <w:r>
        <w:rPr>
          <w:rFonts w:hint="eastAsia"/>
          <w:bCs/>
        </w:rPr>
        <w:t>基金份额持有人大会不得对未事先公告的议事内容进行表决。</w:t>
      </w:r>
    </w:p>
    <w:p w14:paraId="4793D4AF" w14:textId="77777777" w:rsidR="00706097" w:rsidRDefault="00DA6858">
      <w:pPr>
        <w:snapToGrid w:val="0"/>
        <w:spacing w:line="360" w:lineRule="auto"/>
        <w:ind w:firstLineChars="200" w:firstLine="420"/>
        <w:rPr>
          <w:bCs/>
        </w:rPr>
      </w:pPr>
      <w:r>
        <w:rPr>
          <w:rFonts w:hint="eastAsia"/>
          <w:bCs/>
        </w:rPr>
        <w:t>2</w:t>
      </w:r>
      <w:r>
        <w:rPr>
          <w:rFonts w:hint="eastAsia"/>
          <w:bCs/>
        </w:rPr>
        <w:t>、议事程序</w:t>
      </w:r>
    </w:p>
    <w:p w14:paraId="0D530E93"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）现场开会</w:t>
      </w:r>
    </w:p>
    <w:p w14:paraId="4662DE71" w14:textId="77777777" w:rsidR="00706097" w:rsidRDefault="00DA6858">
      <w:pPr>
        <w:snapToGrid w:val="0"/>
        <w:spacing w:line="360" w:lineRule="auto"/>
        <w:ind w:firstLineChars="200" w:firstLine="420"/>
        <w:rPr>
          <w:bCs/>
        </w:rPr>
      </w:pPr>
      <w:r>
        <w:rPr>
          <w:rFonts w:hint="eastAsia"/>
          <w:bCs/>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rPr>
        <w:t>5</w:t>
      </w:r>
      <w:r>
        <w:rPr>
          <w:bCs/>
        </w:rPr>
        <w:t>0</w:t>
      </w:r>
      <w:r>
        <w:rPr>
          <w:rFonts w:hint="eastAsia"/>
          <w:bCs/>
        </w:rPr>
        <w:t>%</w:t>
      </w:r>
      <w:r>
        <w:rPr>
          <w:rFonts w:hint="eastAsia"/>
          <w:bCs/>
        </w:rPr>
        <w:t>以上（含</w:t>
      </w:r>
      <w:r>
        <w:rPr>
          <w:rFonts w:hint="eastAsia"/>
          <w:bCs/>
        </w:rPr>
        <w:t>5</w:t>
      </w:r>
      <w:r>
        <w:rPr>
          <w:bCs/>
        </w:rPr>
        <w:t>0</w:t>
      </w:r>
      <w:r>
        <w:rPr>
          <w:rFonts w:hint="eastAsia"/>
          <w:bCs/>
        </w:rPr>
        <w:t>%</w:t>
      </w:r>
      <w:r>
        <w:rPr>
          <w:rFonts w:hint="eastAsia"/>
          <w:bCs/>
        </w:rPr>
        <w:t>）选举产生一名基金份额持有人作为该次基金份额持有人大会的主持人。基金管理人和基金托管人拒不出席或主持基金份额持有人大会，不影响基金份额持有人大会</w:t>
      </w:r>
      <w:proofErr w:type="gramStart"/>
      <w:r>
        <w:rPr>
          <w:rFonts w:hint="eastAsia"/>
          <w:bCs/>
        </w:rPr>
        <w:t>作出</w:t>
      </w:r>
      <w:proofErr w:type="gramEnd"/>
      <w:r>
        <w:rPr>
          <w:rFonts w:hint="eastAsia"/>
          <w:bCs/>
        </w:rPr>
        <w:t>的决议的效力。</w:t>
      </w:r>
    </w:p>
    <w:p w14:paraId="59FC6200" w14:textId="77777777" w:rsidR="00706097" w:rsidRDefault="00DA6858">
      <w:pPr>
        <w:snapToGrid w:val="0"/>
        <w:spacing w:line="360" w:lineRule="auto"/>
        <w:ind w:firstLineChars="200" w:firstLine="420"/>
        <w:rPr>
          <w:bCs/>
        </w:rPr>
      </w:pPr>
      <w:r>
        <w:rPr>
          <w:rFonts w:hint="eastAsia"/>
          <w:bCs/>
        </w:rPr>
        <w:t>会议召集人应当制作出席会议人员的签名册。签名</w:t>
      </w:r>
      <w:proofErr w:type="gramStart"/>
      <w:r>
        <w:rPr>
          <w:rFonts w:hint="eastAsia"/>
          <w:bCs/>
        </w:rPr>
        <w:t>册</w:t>
      </w:r>
      <w:proofErr w:type="gramEnd"/>
      <w:r>
        <w:rPr>
          <w:rFonts w:hint="eastAsia"/>
          <w:bCs/>
        </w:rPr>
        <w:t>载明参加会议人员姓名（或单位名称）、身份证明文件号码、持有或代表有表决权的基金份额、委托人姓名（或单位名称）和联系方式等事项。</w:t>
      </w:r>
    </w:p>
    <w:p w14:paraId="424888BF"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）通讯开会</w:t>
      </w:r>
    </w:p>
    <w:p w14:paraId="73B2CCB1" w14:textId="77777777" w:rsidR="00706097" w:rsidRDefault="00DA6858">
      <w:pPr>
        <w:snapToGrid w:val="0"/>
        <w:spacing w:line="360" w:lineRule="auto"/>
        <w:ind w:firstLineChars="200" w:firstLine="420"/>
        <w:rPr>
          <w:bCs/>
        </w:rPr>
      </w:pPr>
      <w:r>
        <w:rPr>
          <w:rFonts w:hint="eastAsia"/>
          <w:bCs/>
        </w:rPr>
        <w:lastRenderedPageBreak/>
        <w:t>在通讯开会的情况下，首先由召集人提前</w:t>
      </w:r>
      <w:r>
        <w:rPr>
          <w:rFonts w:hint="eastAsia"/>
          <w:bCs/>
        </w:rPr>
        <w:t>30</w:t>
      </w:r>
      <w:r>
        <w:rPr>
          <w:rFonts w:hint="eastAsia"/>
          <w:bCs/>
        </w:rPr>
        <w:t>日公布提案，在所通知的表决截止日期后</w:t>
      </w:r>
      <w:r>
        <w:rPr>
          <w:rFonts w:hint="eastAsia"/>
          <w:bCs/>
        </w:rPr>
        <w:t>2</w:t>
      </w:r>
      <w:r>
        <w:rPr>
          <w:rFonts w:hint="eastAsia"/>
          <w:bCs/>
        </w:rPr>
        <w:t>个工作日内在公证机关监督下由召集人统计全部有效表决，在公证机关监督下形成决议。</w:t>
      </w:r>
    </w:p>
    <w:p w14:paraId="2D63A32E" w14:textId="77777777" w:rsidR="00706097" w:rsidRDefault="00DA6858">
      <w:pPr>
        <w:snapToGrid w:val="0"/>
        <w:spacing w:line="360" w:lineRule="auto"/>
        <w:ind w:firstLineChars="200" w:firstLine="420"/>
        <w:rPr>
          <w:bCs/>
        </w:rPr>
      </w:pPr>
      <w:r>
        <w:rPr>
          <w:rFonts w:hint="eastAsia"/>
          <w:bCs/>
        </w:rPr>
        <w:t>（六）表决</w:t>
      </w:r>
    </w:p>
    <w:p w14:paraId="6277DF5F" w14:textId="77777777" w:rsidR="00706097" w:rsidRDefault="00DA6858">
      <w:pPr>
        <w:snapToGrid w:val="0"/>
        <w:spacing w:line="360" w:lineRule="auto"/>
        <w:ind w:firstLineChars="200" w:firstLine="420"/>
        <w:rPr>
          <w:bCs/>
        </w:rPr>
      </w:pPr>
      <w:r>
        <w:rPr>
          <w:rFonts w:hint="eastAsia"/>
          <w:bCs/>
        </w:rPr>
        <w:t>基金份额持有人所持每份基金份额有一票表决权。</w:t>
      </w:r>
    </w:p>
    <w:p w14:paraId="2BC11A2D" w14:textId="77777777" w:rsidR="00706097" w:rsidRDefault="00DA6858">
      <w:pPr>
        <w:snapToGrid w:val="0"/>
        <w:spacing w:line="360" w:lineRule="auto"/>
        <w:ind w:firstLineChars="200" w:firstLine="420"/>
        <w:rPr>
          <w:bCs/>
        </w:rPr>
      </w:pPr>
      <w:r>
        <w:rPr>
          <w:rFonts w:hint="eastAsia"/>
          <w:bCs/>
        </w:rPr>
        <w:t>基金份额持有人大会决议分为一般决议和特别决议：</w:t>
      </w:r>
    </w:p>
    <w:p w14:paraId="2A1601F2" w14:textId="77777777" w:rsidR="00706097" w:rsidRDefault="00DA6858">
      <w:pPr>
        <w:snapToGrid w:val="0"/>
        <w:spacing w:line="360" w:lineRule="auto"/>
        <w:ind w:firstLineChars="200" w:firstLine="420"/>
        <w:rPr>
          <w:bCs/>
        </w:rPr>
      </w:pPr>
      <w:r>
        <w:rPr>
          <w:rFonts w:hint="eastAsia"/>
          <w:bCs/>
        </w:rPr>
        <w:t>1</w:t>
      </w:r>
      <w:r>
        <w:rPr>
          <w:rFonts w:hint="eastAsia"/>
          <w:bCs/>
        </w:rPr>
        <w:t>、一般决议，一般决议须经参加大会的基金份额持有人或其代理人所持表决权的二分之一以上（含二分之一）通过方为有效；除下列第</w:t>
      </w:r>
      <w:r>
        <w:rPr>
          <w:rFonts w:hint="eastAsia"/>
          <w:bCs/>
        </w:rPr>
        <w:t>2</w:t>
      </w:r>
      <w:r>
        <w:rPr>
          <w:rFonts w:hint="eastAsia"/>
          <w:bCs/>
        </w:rPr>
        <w:t>项所规定的须以特别决议通过事项以外的其他事项均以一般决议的方式通过。</w:t>
      </w:r>
    </w:p>
    <w:p w14:paraId="29557356" w14:textId="77777777" w:rsidR="00706097" w:rsidRDefault="00DA6858">
      <w:pPr>
        <w:snapToGrid w:val="0"/>
        <w:spacing w:line="360" w:lineRule="auto"/>
        <w:ind w:firstLineChars="200" w:firstLine="420"/>
        <w:rPr>
          <w:bCs/>
        </w:rPr>
      </w:pPr>
      <w:r>
        <w:rPr>
          <w:rFonts w:hint="eastAsia"/>
          <w:bCs/>
        </w:rPr>
        <w:t>2</w:t>
      </w:r>
      <w:r>
        <w:rPr>
          <w:rFonts w:hint="eastAsia"/>
          <w:bCs/>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4E367C96" w14:textId="77777777" w:rsidR="00706097" w:rsidRDefault="00DA6858">
      <w:pPr>
        <w:snapToGrid w:val="0"/>
        <w:spacing w:line="360" w:lineRule="auto"/>
        <w:ind w:firstLineChars="200" w:firstLine="420"/>
        <w:rPr>
          <w:bCs/>
        </w:rPr>
      </w:pPr>
      <w:r>
        <w:rPr>
          <w:rFonts w:hint="eastAsia"/>
          <w:bCs/>
        </w:rPr>
        <w:t>基金份额持有人大会采取记名方式进行投票表决。</w:t>
      </w:r>
    </w:p>
    <w:p w14:paraId="1B56783C" w14:textId="77777777" w:rsidR="00706097" w:rsidRDefault="00DA6858">
      <w:pPr>
        <w:snapToGrid w:val="0"/>
        <w:spacing w:line="360" w:lineRule="auto"/>
        <w:ind w:firstLineChars="200" w:firstLine="420"/>
        <w:rPr>
          <w:bCs/>
        </w:rPr>
      </w:pPr>
      <w:r>
        <w:rPr>
          <w:rFonts w:hint="eastAsia"/>
          <w:bCs/>
        </w:rPr>
        <w:t>采取通讯方式进行表决时，除非在计票时监督员及公证机关均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F4F654B" w14:textId="77777777" w:rsidR="00706097" w:rsidRDefault="00DA6858">
      <w:pPr>
        <w:snapToGrid w:val="0"/>
        <w:spacing w:line="360" w:lineRule="auto"/>
        <w:ind w:firstLineChars="200" w:firstLine="420"/>
        <w:rPr>
          <w:bCs/>
        </w:rPr>
      </w:pPr>
      <w:r>
        <w:rPr>
          <w:rFonts w:hint="eastAsia"/>
          <w:bCs/>
        </w:rPr>
        <w:t>基金份额持有人大会的各项提案或同一项提案内并列的各项议题应当分开审议、逐项表决。</w:t>
      </w:r>
    </w:p>
    <w:p w14:paraId="03EDE3BD" w14:textId="77777777" w:rsidR="00706097" w:rsidRDefault="00DA6858">
      <w:pPr>
        <w:snapToGrid w:val="0"/>
        <w:spacing w:line="360" w:lineRule="auto"/>
        <w:ind w:firstLineChars="200" w:firstLine="420"/>
        <w:rPr>
          <w:bCs/>
        </w:rPr>
      </w:pPr>
      <w:r>
        <w:rPr>
          <w:rFonts w:hint="eastAsia"/>
          <w:bCs/>
        </w:rPr>
        <w:t>（七）计票</w:t>
      </w:r>
    </w:p>
    <w:p w14:paraId="584675F1" w14:textId="77777777" w:rsidR="00706097" w:rsidRDefault="00DA6858">
      <w:pPr>
        <w:snapToGrid w:val="0"/>
        <w:spacing w:line="360" w:lineRule="auto"/>
        <w:ind w:firstLineChars="200" w:firstLine="420"/>
        <w:rPr>
          <w:bCs/>
        </w:rPr>
      </w:pPr>
      <w:r>
        <w:rPr>
          <w:rFonts w:hint="eastAsia"/>
          <w:bCs/>
        </w:rPr>
        <w:t>1</w:t>
      </w:r>
      <w:r>
        <w:rPr>
          <w:rFonts w:hint="eastAsia"/>
          <w:bCs/>
        </w:rPr>
        <w:t>、现场开会</w:t>
      </w:r>
    </w:p>
    <w:p w14:paraId="222785CE"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rPr>
        <w:t>或大会</w:t>
      </w:r>
      <w:proofErr w:type="gramEnd"/>
      <w:r>
        <w:rPr>
          <w:rFonts w:hint="eastAsia"/>
          <w:bCs/>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144EED9"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）监票人应当在基金份额持有人表决后立即进行清点并由大会主持人当场公布计票结果。</w:t>
      </w:r>
    </w:p>
    <w:p w14:paraId="2C8BF1D2"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）如果会议主持人或基金份额持有人或代理人对于提交的表决结果有怀疑，可以在宣布表决结果后立即对所投票</w:t>
      </w:r>
      <w:proofErr w:type="gramStart"/>
      <w:r>
        <w:rPr>
          <w:rFonts w:hint="eastAsia"/>
          <w:bCs/>
        </w:rPr>
        <w:t>数要求</w:t>
      </w:r>
      <w:proofErr w:type="gramEnd"/>
      <w:r>
        <w:rPr>
          <w:rFonts w:hint="eastAsia"/>
          <w:bCs/>
        </w:rPr>
        <w:t>进行重新清点。监票人应当进行重新清点，重新清点以一次为限。重新清点后，大会主持人应当当场公布重新清点结果。</w:t>
      </w:r>
    </w:p>
    <w:p w14:paraId="0FC8C9DA" w14:textId="77777777" w:rsidR="00706097" w:rsidRDefault="00DA6858">
      <w:pPr>
        <w:snapToGrid w:val="0"/>
        <w:spacing w:line="360" w:lineRule="auto"/>
        <w:ind w:firstLineChars="200" w:firstLine="420"/>
        <w:rPr>
          <w:bCs/>
        </w:rPr>
      </w:pPr>
      <w:r>
        <w:rPr>
          <w:rFonts w:hint="eastAsia"/>
          <w:bCs/>
        </w:rPr>
        <w:t>（</w:t>
      </w:r>
      <w:r>
        <w:rPr>
          <w:rFonts w:hint="eastAsia"/>
          <w:bCs/>
        </w:rPr>
        <w:t>4</w:t>
      </w:r>
      <w:r>
        <w:rPr>
          <w:rFonts w:hint="eastAsia"/>
          <w:bCs/>
        </w:rPr>
        <w:t>）计票过程应由公证机关予以公证，基金管理人或基金托管人拒不出席大会的，不影响计票的效力。</w:t>
      </w:r>
    </w:p>
    <w:p w14:paraId="24F46B64" w14:textId="77777777" w:rsidR="00706097" w:rsidRDefault="00DA6858">
      <w:pPr>
        <w:snapToGrid w:val="0"/>
        <w:spacing w:line="360" w:lineRule="auto"/>
        <w:ind w:firstLineChars="200" w:firstLine="420"/>
        <w:rPr>
          <w:bCs/>
        </w:rPr>
      </w:pPr>
      <w:r>
        <w:rPr>
          <w:rFonts w:hint="eastAsia"/>
          <w:bCs/>
        </w:rPr>
        <w:t>2</w:t>
      </w:r>
      <w:r>
        <w:rPr>
          <w:rFonts w:hint="eastAsia"/>
          <w:bCs/>
        </w:rPr>
        <w:t>、通讯开会</w:t>
      </w:r>
    </w:p>
    <w:p w14:paraId="4FC8A1D6" w14:textId="77777777" w:rsidR="00706097" w:rsidRDefault="00DA6858">
      <w:pPr>
        <w:snapToGrid w:val="0"/>
        <w:spacing w:line="360" w:lineRule="auto"/>
        <w:ind w:firstLineChars="200" w:firstLine="420"/>
        <w:rPr>
          <w:bCs/>
        </w:rPr>
      </w:pPr>
      <w:r>
        <w:rPr>
          <w:rFonts w:hint="eastAsia"/>
          <w:bCs/>
        </w:rPr>
        <w:lastRenderedPageBreak/>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rPr>
        <w:t>人拒派</w:t>
      </w:r>
      <w:proofErr w:type="gramEnd"/>
      <w:r>
        <w:rPr>
          <w:rFonts w:hint="eastAsia"/>
          <w:bCs/>
        </w:rPr>
        <w:t>代表对表决意见的计票进行监督的，不影响计票和表决结果。</w:t>
      </w:r>
    </w:p>
    <w:p w14:paraId="5EF565A8" w14:textId="77777777" w:rsidR="00706097" w:rsidRDefault="00DA6858">
      <w:pPr>
        <w:snapToGrid w:val="0"/>
        <w:spacing w:line="360" w:lineRule="auto"/>
        <w:ind w:firstLineChars="200" w:firstLine="420"/>
        <w:rPr>
          <w:bCs/>
        </w:rPr>
      </w:pPr>
      <w:r>
        <w:rPr>
          <w:rFonts w:hint="eastAsia"/>
          <w:bCs/>
        </w:rPr>
        <w:t>（八）生效与公告</w:t>
      </w:r>
    </w:p>
    <w:p w14:paraId="0749D2D9" w14:textId="77777777" w:rsidR="00706097" w:rsidRDefault="00DA6858">
      <w:pPr>
        <w:snapToGrid w:val="0"/>
        <w:spacing w:line="360" w:lineRule="auto"/>
        <w:ind w:firstLineChars="200" w:firstLine="420"/>
        <w:rPr>
          <w:bCs/>
        </w:rPr>
      </w:pPr>
      <w:r>
        <w:rPr>
          <w:rFonts w:hint="eastAsia"/>
          <w:bCs/>
        </w:rPr>
        <w:t>基金份额持有人大会的决议，召集人应当自通过之日起</w:t>
      </w:r>
      <w:r>
        <w:rPr>
          <w:rFonts w:hint="eastAsia"/>
          <w:bCs/>
        </w:rPr>
        <w:t>5</w:t>
      </w:r>
      <w:r>
        <w:rPr>
          <w:rFonts w:hint="eastAsia"/>
          <w:bCs/>
        </w:rPr>
        <w:t>日内报中国证监会备案。</w:t>
      </w:r>
    </w:p>
    <w:p w14:paraId="362A8921" w14:textId="77777777" w:rsidR="00706097" w:rsidRDefault="00DA6858">
      <w:pPr>
        <w:snapToGrid w:val="0"/>
        <w:spacing w:line="360" w:lineRule="auto"/>
        <w:ind w:firstLineChars="200" w:firstLine="420"/>
        <w:rPr>
          <w:bCs/>
        </w:rPr>
      </w:pPr>
      <w:r>
        <w:rPr>
          <w:rFonts w:hint="eastAsia"/>
          <w:bCs/>
        </w:rPr>
        <w:t>基金份额持有人大会的决议自表决通过之日起生效。</w:t>
      </w:r>
    </w:p>
    <w:p w14:paraId="18DB769B" w14:textId="77777777" w:rsidR="00706097" w:rsidRDefault="00DA6858">
      <w:pPr>
        <w:snapToGrid w:val="0"/>
        <w:spacing w:line="360" w:lineRule="auto"/>
        <w:ind w:firstLineChars="200" w:firstLine="420"/>
        <w:rPr>
          <w:bCs/>
        </w:rPr>
      </w:pPr>
      <w:r>
        <w:rPr>
          <w:rFonts w:hint="eastAsia"/>
          <w:bCs/>
        </w:rPr>
        <w:t>基金份额持有人大会决议自生效之日起</w:t>
      </w:r>
      <w:r>
        <w:rPr>
          <w:rFonts w:hint="eastAsia"/>
          <w:bCs/>
        </w:rPr>
        <w:t>2</w:t>
      </w:r>
      <w:r>
        <w:rPr>
          <w:rFonts w:hint="eastAsia"/>
          <w:bCs/>
        </w:rPr>
        <w:t>日内在指定媒介上公告。如果采用通讯方式进行表决，在公告基金份额持有人大会决议时，必须将公证书全文、公证机构、公证员姓名等一同公告。</w:t>
      </w:r>
    </w:p>
    <w:p w14:paraId="3661D3F4" w14:textId="77777777" w:rsidR="00706097" w:rsidRDefault="00DA6858">
      <w:pPr>
        <w:snapToGrid w:val="0"/>
        <w:spacing w:line="360" w:lineRule="auto"/>
        <w:ind w:firstLineChars="200" w:firstLine="420"/>
        <w:rPr>
          <w:bCs/>
        </w:rPr>
      </w:pPr>
      <w:r>
        <w:rPr>
          <w:rFonts w:hint="eastAsia"/>
          <w:bCs/>
        </w:rPr>
        <w:t>基金管理人、基金托管人和基金份额持有人应当执行生效的基金份额持有人大会的决议。生效的基金份额持有人大会决议对全体基金份额持有人、基金管理人、基金托管人均有约束力。</w:t>
      </w:r>
    </w:p>
    <w:p w14:paraId="620D0198" w14:textId="77777777" w:rsidR="00706097" w:rsidRDefault="00DA6858">
      <w:pPr>
        <w:snapToGrid w:val="0"/>
        <w:spacing w:line="360" w:lineRule="auto"/>
        <w:ind w:firstLineChars="200" w:firstLine="420"/>
        <w:rPr>
          <w:bCs/>
        </w:rPr>
      </w:pPr>
      <w:r>
        <w:rPr>
          <w:rFonts w:hint="eastAsia"/>
          <w:bCs/>
        </w:rPr>
        <w:t>（九）实施</w:t>
      </w:r>
      <w:proofErr w:type="gramStart"/>
      <w:r>
        <w:rPr>
          <w:rFonts w:hint="eastAsia"/>
          <w:bCs/>
        </w:rPr>
        <w:t>侧袋机制</w:t>
      </w:r>
      <w:proofErr w:type="gramEnd"/>
      <w:r>
        <w:rPr>
          <w:rFonts w:hint="eastAsia"/>
          <w:bCs/>
        </w:rPr>
        <w:t>期间基金份额持有人大会的特殊约定</w:t>
      </w:r>
    </w:p>
    <w:p w14:paraId="280308C6" w14:textId="77777777" w:rsidR="00706097" w:rsidRDefault="00DA6858">
      <w:pPr>
        <w:snapToGrid w:val="0"/>
        <w:spacing w:line="360" w:lineRule="auto"/>
        <w:ind w:firstLineChars="200" w:firstLine="420"/>
        <w:rPr>
          <w:bCs/>
        </w:rPr>
      </w:pPr>
      <w:r>
        <w:rPr>
          <w:rFonts w:hint="eastAsia"/>
          <w:bCs/>
        </w:rPr>
        <w:t>若本基金</w:t>
      </w:r>
      <w:proofErr w:type="gramStart"/>
      <w:r>
        <w:rPr>
          <w:rFonts w:hint="eastAsia"/>
          <w:bCs/>
        </w:rPr>
        <w:t>实施侧袋机制</w:t>
      </w:r>
      <w:proofErr w:type="gramEnd"/>
      <w:r>
        <w:rPr>
          <w:rFonts w:hint="eastAsia"/>
          <w:bCs/>
        </w:rPr>
        <w:t>，</w:t>
      </w:r>
      <w:proofErr w:type="gramStart"/>
      <w:r>
        <w:rPr>
          <w:rFonts w:hint="eastAsia"/>
          <w:bCs/>
        </w:rPr>
        <w:t>则相关</w:t>
      </w:r>
      <w:proofErr w:type="gramEnd"/>
      <w:r>
        <w:rPr>
          <w:rFonts w:hint="eastAsia"/>
          <w:bCs/>
        </w:rPr>
        <w:t>基金份额或表决权的比例</w:t>
      </w:r>
      <w:proofErr w:type="gramStart"/>
      <w:r>
        <w:rPr>
          <w:rFonts w:hint="eastAsia"/>
          <w:bCs/>
        </w:rPr>
        <w:t>指主袋份额</w:t>
      </w:r>
      <w:proofErr w:type="gramEnd"/>
      <w:r>
        <w:rPr>
          <w:rFonts w:hint="eastAsia"/>
          <w:bCs/>
        </w:rPr>
        <w:t>持有</w:t>
      </w:r>
      <w:proofErr w:type="gramStart"/>
      <w:r>
        <w:rPr>
          <w:rFonts w:hint="eastAsia"/>
          <w:bCs/>
        </w:rPr>
        <w:t>人和侧袋份额</w:t>
      </w:r>
      <w:proofErr w:type="gramEnd"/>
      <w:r>
        <w:rPr>
          <w:rFonts w:hint="eastAsia"/>
          <w:bCs/>
        </w:rPr>
        <w:t>持有人分别持有或代表的基金份额或表决权符合该等比例，但</w:t>
      </w:r>
      <w:proofErr w:type="gramStart"/>
      <w:r>
        <w:rPr>
          <w:rFonts w:hint="eastAsia"/>
          <w:bCs/>
        </w:rPr>
        <w:t>若相关</w:t>
      </w:r>
      <w:proofErr w:type="gramEnd"/>
      <w:r>
        <w:rPr>
          <w:rFonts w:hint="eastAsia"/>
          <w:bCs/>
        </w:rPr>
        <w:t>基金份额持有人大会召集和审议事项不</w:t>
      </w:r>
      <w:proofErr w:type="gramStart"/>
      <w:r>
        <w:rPr>
          <w:rFonts w:hint="eastAsia"/>
          <w:bCs/>
        </w:rPr>
        <w:t>涉及侧袋账户</w:t>
      </w:r>
      <w:proofErr w:type="gramEnd"/>
      <w:r>
        <w:rPr>
          <w:rFonts w:hint="eastAsia"/>
          <w:bCs/>
        </w:rPr>
        <w:t>的，则仅</w:t>
      </w:r>
      <w:proofErr w:type="gramStart"/>
      <w:r>
        <w:rPr>
          <w:rFonts w:hint="eastAsia"/>
          <w:bCs/>
        </w:rPr>
        <w:t>指主袋份额</w:t>
      </w:r>
      <w:proofErr w:type="gramEnd"/>
      <w:r>
        <w:rPr>
          <w:rFonts w:hint="eastAsia"/>
          <w:bCs/>
        </w:rPr>
        <w:t>持有人持有或代表的基金份额或表决权符合该等比例：</w:t>
      </w:r>
    </w:p>
    <w:p w14:paraId="177464A1" w14:textId="77777777" w:rsidR="00706097" w:rsidRDefault="00DA6858">
      <w:pPr>
        <w:snapToGrid w:val="0"/>
        <w:spacing w:line="360" w:lineRule="auto"/>
        <w:ind w:firstLineChars="200" w:firstLine="420"/>
        <w:rPr>
          <w:bCs/>
        </w:rPr>
      </w:pPr>
      <w:r>
        <w:rPr>
          <w:rFonts w:hint="eastAsia"/>
          <w:bCs/>
        </w:rPr>
        <w:t>1</w:t>
      </w:r>
      <w:r>
        <w:rPr>
          <w:rFonts w:hint="eastAsia"/>
          <w:bCs/>
        </w:rPr>
        <w:t>、基金份额持有人行使提议权、召集权、提名权所需单独或合计代表相关基金份额</w:t>
      </w:r>
      <w:r>
        <w:rPr>
          <w:rFonts w:hint="eastAsia"/>
          <w:bCs/>
        </w:rPr>
        <w:t>10%</w:t>
      </w:r>
      <w:r>
        <w:rPr>
          <w:rFonts w:hint="eastAsia"/>
          <w:bCs/>
        </w:rPr>
        <w:t>以上（含</w:t>
      </w:r>
      <w:r>
        <w:rPr>
          <w:rFonts w:hint="eastAsia"/>
          <w:bCs/>
        </w:rPr>
        <w:t>10%</w:t>
      </w:r>
      <w:r>
        <w:rPr>
          <w:rFonts w:hint="eastAsia"/>
          <w:bCs/>
        </w:rPr>
        <w:t>）；</w:t>
      </w:r>
    </w:p>
    <w:p w14:paraId="67454004" w14:textId="77777777" w:rsidR="00706097" w:rsidRDefault="00DA6858">
      <w:pPr>
        <w:snapToGrid w:val="0"/>
        <w:spacing w:line="360" w:lineRule="auto"/>
        <w:ind w:firstLineChars="200" w:firstLine="420"/>
        <w:rPr>
          <w:bCs/>
        </w:rPr>
      </w:pPr>
      <w:r>
        <w:rPr>
          <w:rFonts w:hint="eastAsia"/>
          <w:bCs/>
        </w:rPr>
        <w:t>2</w:t>
      </w:r>
      <w:r>
        <w:rPr>
          <w:rFonts w:hint="eastAsia"/>
          <w:bCs/>
        </w:rPr>
        <w:t>、现场开会的到会者在权益登记日代表的基金份额不少于本基金在权益登记</w:t>
      </w:r>
      <w:proofErr w:type="gramStart"/>
      <w:r>
        <w:rPr>
          <w:rFonts w:hint="eastAsia"/>
          <w:bCs/>
        </w:rPr>
        <w:t>日相关</w:t>
      </w:r>
      <w:proofErr w:type="gramEnd"/>
      <w:r>
        <w:rPr>
          <w:rFonts w:hint="eastAsia"/>
          <w:bCs/>
        </w:rPr>
        <w:t>基金份额的二分之一（含二分之一）；</w:t>
      </w:r>
    </w:p>
    <w:p w14:paraId="66B5B6E3" w14:textId="77777777" w:rsidR="00706097" w:rsidRDefault="00DA6858">
      <w:pPr>
        <w:snapToGrid w:val="0"/>
        <w:spacing w:line="360" w:lineRule="auto"/>
        <w:ind w:firstLineChars="200" w:firstLine="420"/>
        <w:rPr>
          <w:bCs/>
        </w:rPr>
      </w:pPr>
      <w:r>
        <w:rPr>
          <w:rFonts w:hint="eastAsia"/>
          <w:bCs/>
        </w:rPr>
        <w:t>3</w:t>
      </w:r>
      <w:r>
        <w:rPr>
          <w:rFonts w:hint="eastAsia"/>
          <w:bCs/>
        </w:rPr>
        <w:t>、通讯开会的直接出具书面意见或授权他人代表出具书面意见的基金份额持有人所持有的基金份额不小于在权益登记</w:t>
      </w:r>
      <w:proofErr w:type="gramStart"/>
      <w:r>
        <w:rPr>
          <w:rFonts w:hint="eastAsia"/>
          <w:bCs/>
        </w:rPr>
        <w:t>日相关</w:t>
      </w:r>
      <w:proofErr w:type="gramEnd"/>
      <w:r>
        <w:rPr>
          <w:rFonts w:hint="eastAsia"/>
          <w:bCs/>
        </w:rPr>
        <w:t>基金份额的二分之一（含二分之一）；</w:t>
      </w:r>
    </w:p>
    <w:p w14:paraId="64360FB5" w14:textId="77777777" w:rsidR="00706097" w:rsidRDefault="00DA6858">
      <w:pPr>
        <w:snapToGrid w:val="0"/>
        <w:spacing w:line="360" w:lineRule="auto"/>
        <w:ind w:firstLineChars="200" w:firstLine="420"/>
        <w:rPr>
          <w:bCs/>
        </w:rPr>
      </w:pPr>
      <w:r>
        <w:rPr>
          <w:rFonts w:hint="eastAsia"/>
          <w:bCs/>
        </w:rPr>
        <w:t>4</w:t>
      </w:r>
      <w:r>
        <w:rPr>
          <w:rFonts w:hint="eastAsia"/>
          <w:bCs/>
        </w:rPr>
        <w:t>、在参与基金份额持有人大会投票的基金份额持有人所持有的基金份额小于在权益登记</w:t>
      </w:r>
      <w:proofErr w:type="gramStart"/>
      <w:r>
        <w:rPr>
          <w:rFonts w:hint="eastAsia"/>
          <w:bCs/>
        </w:rPr>
        <w:t>日相关</w:t>
      </w:r>
      <w:proofErr w:type="gramEnd"/>
      <w:r>
        <w:rPr>
          <w:rFonts w:hint="eastAsia"/>
          <w:bCs/>
        </w:rPr>
        <w:t>基金份额的二分之一、召集人在原公告的基金份额持有人大会召开时间的</w:t>
      </w:r>
      <w:r>
        <w:rPr>
          <w:rFonts w:hint="eastAsia"/>
          <w:bCs/>
        </w:rPr>
        <w:t>3</w:t>
      </w:r>
      <w:r>
        <w:rPr>
          <w:rFonts w:hint="eastAsia"/>
          <w:bCs/>
        </w:rPr>
        <w:t>个月以后、</w:t>
      </w:r>
      <w:r>
        <w:rPr>
          <w:rFonts w:hint="eastAsia"/>
          <w:bCs/>
        </w:rPr>
        <w:t>6</w:t>
      </w:r>
      <w:r>
        <w:rPr>
          <w:rFonts w:hint="eastAsia"/>
          <w:bCs/>
        </w:rPr>
        <w:t>个月以内就原定审议事项重新召集的基金份额持有人大会应当有代表三分之一以上（含三分之一）相关基金份额的持有人参与或授权他人参与基金份额持有人大会投票；</w:t>
      </w:r>
    </w:p>
    <w:p w14:paraId="09058C84" w14:textId="77777777" w:rsidR="00706097" w:rsidRDefault="00DA6858">
      <w:pPr>
        <w:snapToGrid w:val="0"/>
        <w:spacing w:line="360" w:lineRule="auto"/>
        <w:ind w:firstLineChars="200" w:firstLine="420"/>
        <w:rPr>
          <w:bCs/>
        </w:rPr>
      </w:pPr>
      <w:r>
        <w:rPr>
          <w:rFonts w:hint="eastAsia"/>
          <w:bCs/>
        </w:rPr>
        <w:t>5</w:t>
      </w:r>
      <w:r>
        <w:rPr>
          <w:rFonts w:hint="eastAsia"/>
          <w:bCs/>
        </w:rPr>
        <w:t>、现场开会由出席大会的基金份额持有人和代理人所持表决权的</w:t>
      </w:r>
      <w:r>
        <w:rPr>
          <w:rFonts w:hint="eastAsia"/>
          <w:bCs/>
        </w:rPr>
        <w:t>50%</w:t>
      </w:r>
      <w:r>
        <w:rPr>
          <w:rFonts w:hint="eastAsia"/>
          <w:bCs/>
        </w:rPr>
        <w:t>以上（含</w:t>
      </w:r>
      <w:r>
        <w:rPr>
          <w:rFonts w:hint="eastAsia"/>
          <w:bCs/>
        </w:rPr>
        <w:t>50%</w:t>
      </w:r>
      <w:r>
        <w:rPr>
          <w:rFonts w:hint="eastAsia"/>
          <w:bCs/>
        </w:rPr>
        <w:t>）选举产生一名基金份额持有人作为该次基金份额持有人大会的主持人；</w:t>
      </w:r>
    </w:p>
    <w:p w14:paraId="34EC5DCC" w14:textId="77777777" w:rsidR="00706097" w:rsidRDefault="00DA6858">
      <w:pPr>
        <w:snapToGrid w:val="0"/>
        <w:spacing w:line="360" w:lineRule="auto"/>
        <w:ind w:firstLineChars="200" w:firstLine="420"/>
        <w:rPr>
          <w:bCs/>
        </w:rPr>
      </w:pPr>
      <w:r>
        <w:rPr>
          <w:rFonts w:hint="eastAsia"/>
          <w:bCs/>
        </w:rPr>
        <w:t>6</w:t>
      </w:r>
      <w:r>
        <w:rPr>
          <w:rFonts w:hint="eastAsia"/>
          <w:bCs/>
        </w:rPr>
        <w:t>、一般决议须经参加大会的基金份额持有人或其代理人所持表决权的二分之一以上（含二分之一）通过；</w:t>
      </w:r>
    </w:p>
    <w:p w14:paraId="6AD73DA3" w14:textId="77777777" w:rsidR="00706097" w:rsidRDefault="00DA6858">
      <w:pPr>
        <w:snapToGrid w:val="0"/>
        <w:spacing w:line="360" w:lineRule="auto"/>
        <w:ind w:firstLineChars="200" w:firstLine="420"/>
        <w:rPr>
          <w:bCs/>
        </w:rPr>
      </w:pPr>
      <w:r>
        <w:rPr>
          <w:rFonts w:hint="eastAsia"/>
          <w:bCs/>
        </w:rPr>
        <w:t>7</w:t>
      </w:r>
      <w:r>
        <w:rPr>
          <w:rFonts w:hint="eastAsia"/>
          <w:bCs/>
        </w:rPr>
        <w:t>、特别决议应当经参加大会的基金份额持有人或其代理人所持表决权的三分之二以上（含三分之二）通过。</w:t>
      </w:r>
    </w:p>
    <w:p w14:paraId="5E6490F2" w14:textId="77777777" w:rsidR="00706097" w:rsidRDefault="00DA6858">
      <w:pPr>
        <w:snapToGrid w:val="0"/>
        <w:spacing w:line="360" w:lineRule="auto"/>
        <w:ind w:firstLineChars="200" w:firstLine="420"/>
        <w:rPr>
          <w:bCs/>
        </w:rPr>
      </w:pPr>
      <w:r>
        <w:rPr>
          <w:rFonts w:hint="eastAsia"/>
          <w:bCs/>
        </w:rPr>
        <w:lastRenderedPageBreak/>
        <w:t>同</w:t>
      </w:r>
      <w:proofErr w:type="gramStart"/>
      <w:r>
        <w:rPr>
          <w:rFonts w:hint="eastAsia"/>
          <w:bCs/>
        </w:rPr>
        <w:t>一主侧袋账户</w:t>
      </w:r>
      <w:proofErr w:type="gramEnd"/>
      <w:r>
        <w:rPr>
          <w:rFonts w:hint="eastAsia"/>
          <w:bCs/>
        </w:rPr>
        <w:t>内的每份基金份额具有平等的表决权。</w:t>
      </w:r>
    </w:p>
    <w:p w14:paraId="53198222" w14:textId="77777777" w:rsidR="00706097" w:rsidRDefault="00DA6858">
      <w:pPr>
        <w:snapToGrid w:val="0"/>
        <w:spacing w:line="360" w:lineRule="auto"/>
        <w:ind w:firstLineChars="200" w:firstLine="420"/>
        <w:rPr>
          <w:bCs/>
        </w:rPr>
      </w:pPr>
      <w:r>
        <w:rPr>
          <w:rFonts w:hint="eastAsia"/>
          <w:bCs/>
        </w:rPr>
        <w:t>（十）其他</w:t>
      </w:r>
    </w:p>
    <w:p w14:paraId="14A2339D" w14:textId="77777777" w:rsidR="00706097" w:rsidRDefault="00DA6858">
      <w:pPr>
        <w:snapToGrid w:val="0"/>
        <w:spacing w:line="360" w:lineRule="auto"/>
        <w:ind w:firstLineChars="200" w:firstLine="420"/>
        <w:rPr>
          <w:bCs/>
        </w:rPr>
      </w:pPr>
      <w:r>
        <w:rPr>
          <w:rFonts w:hint="eastAsia"/>
          <w:bCs/>
        </w:rPr>
        <w:t>本部</w:t>
      </w:r>
      <w:proofErr w:type="gramStart"/>
      <w:r>
        <w:rPr>
          <w:rFonts w:hint="eastAsia"/>
          <w:bCs/>
        </w:rPr>
        <w:t>分关于</w:t>
      </w:r>
      <w:proofErr w:type="gramEnd"/>
      <w:r>
        <w:rPr>
          <w:rFonts w:hint="eastAsia"/>
          <w:bCs/>
        </w:rPr>
        <w:t>基金份额持有人大会召开事由、召开条件、议事程序、表决条件等规定，凡是直接引用法律法规的部分，如将来法律法规修改导致相关内容被取消或变更的，基金管理人与基金托管人根据新颁布的法律法规协商一致并提前公告后，可直接对本部分内容进行修改和调整，无需召开基金份额持有人大会审议。</w:t>
      </w:r>
    </w:p>
    <w:p w14:paraId="2DA2B8AC" w14:textId="77777777" w:rsidR="00706097" w:rsidRDefault="00706097">
      <w:pPr>
        <w:snapToGrid w:val="0"/>
        <w:spacing w:line="360" w:lineRule="auto"/>
        <w:ind w:firstLineChars="200" w:firstLine="420"/>
        <w:rPr>
          <w:bCs/>
        </w:rPr>
      </w:pPr>
    </w:p>
    <w:p w14:paraId="56935F85" w14:textId="77777777" w:rsidR="00706097" w:rsidRDefault="00DA6858">
      <w:pPr>
        <w:snapToGrid w:val="0"/>
        <w:spacing w:line="360" w:lineRule="auto"/>
        <w:ind w:firstLineChars="200" w:firstLine="420"/>
        <w:rPr>
          <w:bCs/>
        </w:rPr>
      </w:pPr>
      <w:r>
        <w:rPr>
          <w:rFonts w:hint="eastAsia"/>
          <w:bCs/>
        </w:rPr>
        <w:t>三、</w:t>
      </w:r>
      <w:bookmarkStart w:id="320" w:name="_Hlt88825574"/>
      <w:bookmarkEnd w:id="320"/>
      <w:r>
        <w:rPr>
          <w:rFonts w:hint="eastAsia"/>
          <w:bCs/>
        </w:rPr>
        <w:t>基金合同变更、终止与基金财产的清算</w:t>
      </w:r>
    </w:p>
    <w:p w14:paraId="6EC464A1" w14:textId="77777777" w:rsidR="00706097" w:rsidRDefault="00DA6858">
      <w:pPr>
        <w:snapToGrid w:val="0"/>
        <w:spacing w:line="360" w:lineRule="auto"/>
        <w:ind w:firstLineChars="200" w:firstLine="420"/>
        <w:rPr>
          <w:bCs/>
        </w:rPr>
      </w:pPr>
      <w:r>
        <w:rPr>
          <w:rFonts w:hint="eastAsia"/>
          <w:bCs/>
        </w:rPr>
        <w:t>（一）《基金合同》的变更</w:t>
      </w:r>
    </w:p>
    <w:p w14:paraId="7F55633B" w14:textId="77777777" w:rsidR="00706097" w:rsidRDefault="00DA6858">
      <w:pPr>
        <w:snapToGrid w:val="0"/>
        <w:spacing w:line="360" w:lineRule="auto"/>
        <w:ind w:firstLineChars="200" w:firstLine="420"/>
        <w:rPr>
          <w:bCs/>
        </w:rPr>
      </w:pPr>
      <w:r>
        <w:rPr>
          <w:bCs/>
        </w:rPr>
        <w:t>1</w:t>
      </w:r>
      <w:r>
        <w:rPr>
          <w:bCs/>
        </w:rPr>
        <w:t>、变更基金合同</w:t>
      </w:r>
      <w:r>
        <w:rPr>
          <w:rFonts w:hint="eastAsia"/>
          <w:bCs/>
        </w:rPr>
        <w:t>涉及</w:t>
      </w:r>
      <w:r>
        <w:rPr>
          <w:bCs/>
        </w:rPr>
        <w:t>法律法规规定或本合同约定应经基金份额持有人大会决议通过的事项的，应召</w:t>
      </w:r>
      <w:proofErr w:type="gramStart"/>
      <w:r>
        <w:rPr>
          <w:bCs/>
        </w:rPr>
        <w:t>开基金</w:t>
      </w:r>
      <w:proofErr w:type="gramEnd"/>
      <w:r>
        <w:rPr>
          <w:bCs/>
        </w:rPr>
        <w:t>份额持有人大会决议通过。对于</w:t>
      </w:r>
      <w:r>
        <w:rPr>
          <w:rFonts w:hint="eastAsia"/>
          <w:bCs/>
        </w:rPr>
        <w:t>法律法规规定和基金合同约定</w:t>
      </w:r>
      <w:r>
        <w:rPr>
          <w:bCs/>
        </w:rPr>
        <w:t>可不经基金份额持有人大会决议通过的事项，由基金管理人和基金托管人同意后变更并公告，并报中国证监会备案。</w:t>
      </w:r>
    </w:p>
    <w:p w14:paraId="09CCBA42" w14:textId="77777777" w:rsidR="00706097" w:rsidRDefault="00DA6858">
      <w:pPr>
        <w:snapToGrid w:val="0"/>
        <w:spacing w:line="360" w:lineRule="auto"/>
        <w:ind w:firstLineChars="200" w:firstLine="420"/>
        <w:rPr>
          <w:bCs/>
        </w:rPr>
      </w:pPr>
      <w:r>
        <w:rPr>
          <w:bCs/>
        </w:rPr>
        <w:t>2</w:t>
      </w:r>
      <w:r>
        <w:rPr>
          <w:bCs/>
        </w:rPr>
        <w:t>、关于《基金合同》变更的基金份额持有人大会决议</w:t>
      </w:r>
      <w:r>
        <w:rPr>
          <w:rFonts w:hint="eastAsia"/>
          <w:bCs/>
        </w:rPr>
        <w:t>自</w:t>
      </w:r>
      <w:r>
        <w:rPr>
          <w:bCs/>
        </w:rPr>
        <w:t>生效后方可执行，</w:t>
      </w:r>
      <w:proofErr w:type="gramStart"/>
      <w:r>
        <w:rPr>
          <w:bCs/>
        </w:rPr>
        <w:t>自决议</w:t>
      </w:r>
      <w:proofErr w:type="gramEnd"/>
      <w:r>
        <w:rPr>
          <w:bCs/>
        </w:rPr>
        <w:t>生效后</w:t>
      </w:r>
      <w:r>
        <w:rPr>
          <w:rFonts w:hint="eastAsia"/>
          <w:bCs/>
        </w:rPr>
        <w:t>两个工作</w:t>
      </w:r>
      <w:r>
        <w:rPr>
          <w:bCs/>
        </w:rPr>
        <w:t>日内在指定媒介公告。</w:t>
      </w:r>
    </w:p>
    <w:p w14:paraId="0E123824" w14:textId="77777777" w:rsidR="00706097" w:rsidRDefault="00DA6858">
      <w:pPr>
        <w:snapToGrid w:val="0"/>
        <w:spacing w:line="360" w:lineRule="auto"/>
        <w:ind w:firstLineChars="200" w:firstLine="420"/>
        <w:rPr>
          <w:bCs/>
        </w:rPr>
      </w:pPr>
      <w:r>
        <w:rPr>
          <w:rFonts w:hint="eastAsia"/>
          <w:bCs/>
        </w:rPr>
        <w:t>（二）《基金合同》的终止事由</w:t>
      </w:r>
    </w:p>
    <w:p w14:paraId="6C007F76" w14:textId="77777777" w:rsidR="00706097" w:rsidRDefault="00DA6858">
      <w:pPr>
        <w:snapToGrid w:val="0"/>
        <w:spacing w:line="360" w:lineRule="auto"/>
        <w:ind w:firstLineChars="200" w:firstLine="420"/>
        <w:rPr>
          <w:bCs/>
        </w:rPr>
      </w:pPr>
      <w:r>
        <w:rPr>
          <w:bCs/>
        </w:rPr>
        <w:t>有下列情形之一的，</w:t>
      </w:r>
      <w:r>
        <w:rPr>
          <w:rFonts w:hint="eastAsia"/>
          <w:bCs/>
        </w:rPr>
        <w:t>经履行相关程序后，</w:t>
      </w:r>
      <w:r>
        <w:rPr>
          <w:bCs/>
        </w:rPr>
        <w:t>《基金合同》应当终止：</w:t>
      </w:r>
    </w:p>
    <w:p w14:paraId="6A26CF85" w14:textId="77777777" w:rsidR="00706097" w:rsidRDefault="00DA6858">
      <w:pPr>
        <w:snapToGrid w:val="0"/>
        <w:spacing w:line="360" w:lineRule="auto"/>
        <w:ind w:firstLineChars="200" w:firstLine="420"/>
        <w:rPr>
          <w:bCs/>
        </w:rPr>
      </w:pPr>
      <w:r>
        <w:rPr>
          <w:rFonts w:hint="eastAsia"/>
          <w:bCs/>
        </w:rPr>
        <w:t>1</w:t>
      </w:r>
      <w:r>
        <w:rPr>
          <w:rFonts w:hint="eastAsia"/>
          <w:bCs/>
        </w:rPr>
        <w:t>、基金份额持有人大会决定终止的；</w:t>
      </w:r>
    </w:p>
    <w:p w14:paraId="6DF412AE" w14:textId="77777777" w:rsidR="00706097" w:rsidRDefault="00DA6858">
      <w:pPr>
        <w:snapToGrid w:val="0"/>
        <w:spacing w:line="360" w:lineRule="auto"/>
        <w:ind w:firstLineChars="200" w:firstLine="420"/>
        <w:rPr>
          <w:bCs/>
        </w:rPr>
      </w:pPr>
      <w:r>
        <w:rPr>
          <w:rFonts w:hint="eastAsia"/>
          <w:bCs/>
        </w:rPr>
        <w:t>2</w:t>
      </w:r>
      <w:r>
        <w:rPr>
          <w:rFonts w:hint="eastAsia"/>
          <w:bCs/>
        </w:rPr>
        <w:t>、基金管理人、基金托管人职责终止，在</w:t>
      </w:r>
      <w:r>
        <w:rPr>
          <w:rFonts w:hint="eastAsia"/>
          <w:bCs/>
        </w:rPr>
        <w:t>6</w:t>
      </w:r>
      <w:r>
        <w:rPr>
          <w:rFonts w:hint="eastAsia"/>
          <w:bCs/>
        </w:rPr>
        <w:t>个月内没有新基金管理人、新基金托管人承接的；</w:t>
      </w:r>
    </w:p>
    <w:p w14:paraId="477D9698" w14:textId="77777777" w:rsidR="00706097" w:rsidRDefault="00DA6858">
      <w:pPr>
        <w:snapToGrid w:val="0"/>
        <w:spacing w:line="360" w:lineRule="auto"/>
        <w:ind w:firstLineChars="200" w:firstLine="420"/>
        <w:rPr>
          <w:bCs/>
        </w:rPr>
      </w:pPr>
      <w:r>
        <w:rPr>
          <w:rFonts w:hint="eastAsia"/>
          <w:bCs/>
        </w:rPr>
        <w:t>3</w:t>
      </w:r>
      <w:r>
        <w:rPr>
          <w:rFonts w:hint="eastAsia"/>
          <w:bCs/>
        </w:rPr>
        <w:t>、《基金合同》约定的其他情形；</w:t>
      </w:r>
    </w:p>
    <w:p w14:paraId="380728F3" w14:textId="77777777" w:rsidR="00706097" w:rsidRDefault="00DA6858">
      <w:pPr>
        <w:snapToGrid w:val="0"/>
        <w:spacing w:line="360" w:lineRule="auto"/>
        <w:ind w:firstLineChars="200" w:firstLine="420"/>
        <w:rPr>
          <w:bCs/>
        </w:rPr>
      </w:pPr>
      <w:r>
        <w:rPr>
          <w:rFonts w:hint="eastAsia"/>
          <w:bCs/>
        </w:rPr>
        <w:t>4</w:t>
      </w:r>
      <w:r>
        <w:rPr>
          <w:rFonts w:hint="eastAsia"/>
          <w:bCs/>
        </w:rPr>
        <w:t>、相关法律法规和中国证监会规定的其他情况。</w:t>
      </w:r>
    </w:p>
    <w:p w14:paraId="05BAC30E" w14:textId="77777777" w:rsidR="00706097" w:rsidRDefault="00DA6858">
      <w:pPr>
        <w:snapToGrid w:val="0"/>
        <w:spacing w:line="360" w:lineRule="auto"/>
        <w:ind w:firstLineChars="200" w:firstLine="420"/>
        <w:rPr>
          <w:bCs/>
        </w:rPr>
      </w:pPr>
      <w:r>
        <w:rPr>
          <w:rFonts w:hint="eastAsia"/>
          <w:bCs/>
        </w:rPr>
        <w:t>（三）基金财产的清算</w:t>
      </w:r>
    </w:p>
    <w:p w14:paraId="68D99C37" w14:textId="77777777" w:rsidR="00706097" w:rsidRDefault="00DA6858">
      <w:pPr>
        <w:snapToGrid w:val="0"/>
        <w:spacing w:line="360" w:lineRule="auto"/>
        <w:ind w:firstLineChars="200" w:firstLine="420"/>
        <w:rPr>
          <w:bCs/>
        </w:rPr>
      </w:pPr>
      <w:r>
        <w:rPr>
          <w:rFonts w:hint="eastAsia"/>
          <w:bCs/>
        </w:rPr>
        <w:t>1</w:t>
      </w:r>
      <w:r>
        <w:rPr>
          <w:rFonts w:hint="eastAsia"/>
          <w:bCs/>
        </w:rPr>
        <w:t>、基金财产清算小组：自出现《基金合同》终止事由之日起</w:t>
      </w:r>
      <w:r>
        <w:rPr>
          <w:rFonts w:hint="eastAsia"/>
          <w:bCs/>
        </w:rPr>
        <w:t>30</w:t>
      </w:r>
      <w:r>
        <w:rPr>
          <w:rFonts w:hint="eastAsia"/>
          <w:bCs/>
        </w:rPr>
        <w:t>个工作日内成立清算小组，基金管理人组织基金财产清算小组并在中国证监会的监督下进行基金清算。</w:t>
      </w:r>
    </w:p>
    <w:p w14:paraId="7F4AE9A8" w14:textId="77777777" w:rsidR="00706097" w:rsidRDefault="00DA6858">
      <w:pPr>
        <w:snapToGrid w:val="0"/>
        <w:spacing w:line="360" w:lineRule="auto"/>
        <w:ind w:firstLineChars="200" w:firstLine="420"/>
        <w:rPr>
          <w:bCs/>
        </w:rPr>
      </w:pPr>
      <w:r>
        <w:rPr>
          <w:rFonts w:hint="eastAsia"/>
          <w:bCs/>
        </w:rPr>
        <w:t>2</w:t>
      </w:r>
      <w:r>
        <w:rPr>
          <w:rFonts w:hint="eastAsia"/>
          <w:bCs/>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7F2BFA6" w14:textId="77777777" w:rsidR="00706097" w:rsidRDefault="00DA6858">
      <w:pPr>
        <w:snapToGrid w:val="0"/>
        <w:spacing w:line="360" w:lineRule="auto"/>
        <w:ind w:firstLineChars="200" w:firstLine="420"/>
        <w:rPr>
          <w:bCs/>
        </w:rPr>
      </w:pPr>
      <w:r>
        <w:rPr>
          <w:rFonts w:hint="eastAsia"/>
          <w:bCs/>
        </w:rPr>
        <w:t>3</w:t>
      </w:r>
      <w:r>
        <w:rPr>
          <w:rFonts w:hint="eastAsia"/>
          <w:bCs/>
        </w:rPr>
        <w:t>、基金财产清算小组职责：基金财产清算小组负责基金财产的保管、清理、估价、变现和分配。基金财产清算小组可以依法进行必要的民事活动。</w:t>
      </w:r>
    </w:p>
    <w:p w14:paraId="36AF399E" w14:textId="77777777" w:rsidR="00706097" w:rsidRDefault="00DA6858">
      <w:pPr>
        <w:snapToGrid w:val="0"/>
        <w:spacing w:line="360" w:lineRule="auto"/>
        <w:ind w:firstLineChars="200" w:firstLine="420"/>
        <w:rPr>
          <w:bCs/>
        </w:rPr>
      </w:pPr>
      <w:r>
        <w:rPr>
          <w:rFonts w:hint="eastAsia"/>
          <w:bCs/>
        </w:rPr>
        <w:t>4</w:t>
      </w:r>
      <w:r>
        <w:rPr>
          <w:rFonts w:hint="eastAsia"/>
          <w:bCs/>
        </w:rPr>
        <w:t>、基金财产清算程序：</w:t>
      </w:r>
    </w:p>
    <w:p w14:paraId="7B42350B" w14:textId="77777777" w:rsidR="00706097" w:rsidRDefault="00DA6858">
      <w:pPr>
        <w:snapToGrid w:val="0"/>
        <w:spacing w:line="360" w:lineRule="auto"/>
        <w:ind w:firstLineChars="200" w:firstLine="420"/>
        <w:rPr>
          <w:bCs/>
        </w:rPr>
      </w:pPr>
      <w:r>
        <w:rPr>
          <w:rFonts w:hint="eastAsia"/>
          <w:bCs/>
        </w:rPr>
        <w:t>（</w:t>
      </w:r>
      <w:r>
        <w:rPr>
          <w:rFonts w:hint="eastAsia"/>
          <w:bCs/>
        </w:rPr>
        <w:t>1</w:t>
      </w:r>
      <w:r>
        <w:rPr>
          <w:rFonts w:hint="eastAsia"/>
          <w:bCs/>
        </w:rPr>
        <w:t>）《基金合同》终止情形出现时，由基金财产清算小组统一接管基金财产；</w:t>
      </w:r>
    </w:p>
    <w:p w14:paraId="35F9CE40" w14:textId="77777777" w:rsidR="00706097" w:rsidRDefault="00DA6858">
      <w:pPr>
        <w:snapToGrid w:val="0"/>
        <w:spacing w:line="360" w:lineRule="auto"/>
        <w:ind w:firstLineChars="200" w:firstLine="420"/>
        <w:rPr>
          <w:bCs/>
        </w:rPr>
      </w:pPr>
      <w:r>
        <w:rPr>
          <w:rFonts w:hint="eastAsia"/>
          <w:bCs/>
        </w:rPr>
        <w:t>（</w:t>
      </w:r>
      <w:r>
        <w:rPr>
          <w:rFonts w:hint="eastAsia"/>
          <w:bCs/>
        </w:rPr>
        <w:t>2</w:t>
      </w:r>
      <w:r>
        <w:rPr>
          <w:rFonts w:hint="eastAsia"/>
          <w:bCs/>
        </w:rPr>
        <w:t>）对基金财产和债权债务进行清理和确认；</w:t>
      </w:r>
    </w:p>
    <w:p w14:paraId="4B6A2C6A" w14:textId="77777777" w:rsidR="00706097" w:rsidRDefault="00DA6858">
      <w:pPr>
        <w:snapToGrid w:val="0"/>
        <w:spacing w:line="360" w:lineRule="auto"/>
        <w:ind w:firstLineChars="200" w:firstLine="420"/>
        <w:rPr>
          <w:bCs/>
        </w:rPr>
      </w:pPr>
      <w:r>
        <w:rPr>
          <w:rFonts w:hint="eastAsia"/>
          <w:bCs/>
        </w:rPr>
        <w:t>（</w:t>
      </w:r>
      <w:r>
        <w:rPr>
          <w:rFonts w:hint="eastAsia"/>
          <w:bCs/>
        </w:rPr>
        <w:t>3</w:t>
      </w:r>
      <w:r>
        <w:rPr>
          <w:rFonts w:hint="eastAsia"/>
          <w:bCs/>
        </w:rPr>
        <w:t>）对基金财产进行估值和变现；</w:t>
      </w:r>
    </w:p>
    <w:p w14:paraId="4336BD11" w14:textId="77777777" w:rsidR="00706097" w:rsidRDefault="00DA6858">
      <w:pPr>
        <w:snapToGrid w:val="0"/>
        <w:spacing w:line="360" w:lineRule="auto"/>
        <w:ind w:firstLineChars="200" w:firstLine="420"/>
        <w:rPr>
          <w:bCs/>
        </w:rPr>
      </w:pPr>
      <w:r>
        <w:rPr>
          <w:rFonts w:hint="eastAsia"/>
          <w:bCs/>
        </w:rPr>
        <w:lastRenderedPageBreak/>
        <w:t>（</w:t>
      </w:r>
      <w:r>
        <w:rPr>
          <w:rFonts w:hint="eastAsia"/>
          <w:bCs/>
        </w:rPr>
        <w:t>4</w:t>
      </w:r>
      <w:r>
        <w:rPr>
          <w:rFonts w:hint="eastAsia"/>
          <w:bCs/>
        </w:rPr>
        <w:t>）制作清算报告；</w:t>
      </w:r>
    </w:p>
    <w:p w14:paraId="260017DC" w14:textId="77777777" w:rsidR="00706097" w:rsidRDefault="00DA6858">
      <w:pPr>
        <w:snapToGrid w:val="0"/>
        <w:spacing w:line="360" w:lineRule="auto"/>
        <w:ind w:firstLineChars="200" w:firstLine="420"/>
        <w:rPr>
          <w:bCs/>
        </w:rPr>
      </w:pPr>
      <w:r>
        <w:rPr>
          <w:rFonts w:hint="eastAsia"/>
          <w:bCs/>
        </w:rPr>
        <w:t>（</w:t>
      </w:r>
      <w:r>
        <w:rPr>
          <w:rFonts w:hint="eastAsia"/>
          <w:bCs/>
        </w:rPr>
        <w:t>5</w:t>
      </w:r>
      <w:r>
        <w:rPr>
          <w:rFonts w:hint="eastAsia"/>
          <w:bCs/>
        </w:rPr>
        <w:t>）聘请会计师事务所对清算报告进行外部审计，聘请律师事务所对清算报告出具法律意见书；</w:t>
      </w:r>
    </w:p>
    <w:p w14:paraId="6CA00EDD" w14:textId="77777777" w:rsidR="00706097" w:rsidRDefault="00DA6858">
      <w:pPr>
        <w:snapToGrid w:val="0"/>
        <w:spacing w:line="360" w:lineRule="auto"/>
        <w:ind w:firstLineChars="200" w:firstLine="420"/>
        <w:rPr>
          <w:bCs/>
        </w:rPr>
      </w:pPr>
      <w:r>
        <w:rPr>
          <w:rFonts w:hint="eastAsia"/>
          <w:bCs/>
        </w:rPr>
        <w:t>（</w:t>
      </w:r>
      <w:r>
        <w:rPr>
          <w:rFonts w:hint="eastAsia"/>
          <w:bCs/>
        </w:rPr>
        <w:t>6</w:t>
      </w:r>
      <w:r>
        <w:rPr>
          <w:rFonts w:hint="eastAsia"/>
          <w:bCs/>
        </w:rPr>
        <w:t>）将清算报告报中国证监会备案并公告；</w:t>
      </w:r>
    </w:p>
    <w:p w14:paraId="53671A1D" w14:textId="77777777" w:rsidR="00706097" w:rsidRDefault="00DA6858">
      <w:pPr>
        <w:snapToGrid w:val="0"/>
        <w:spacing w:line="360" w:lineRule="auto"/>
        <w:ind w:firstLineChars="200" w:firstLine="420"/>
        <w:rPr>
          <w:bCs/>
        </w:rPr>
      </w:pPr>
      <w:r>
        <w:rPr>
          <w:rFonts w:hint="eastAsia"/>
          <w:bCs/>
        </w:rPr>
        <w:t>（</w:t>
      </w:r>
      <w:r>
        <w:rPr>
          <w:rFonts w:hint="eastAsia"/>
          <w:bCs/>
        </w:rPr>
        <w:t>7</w:t>
      </w:r>
      <w:r>
        <w:rPr>
          <w:rFonts w:hint="eastAsia"/>
          <w:bCs/>
        </w:rPr>
        <w:t>）对基金剩余财产进行分配。</w:t>
      </w:r>
    </w:p>
    <w:p w14:paraId="35619EAE" w14:textId="77777777" w:rsidR="00706097" w:rsidRDefault="00DA6858">
      <w:pPr>
        <w:snapToGrid w:val="0"/>
        <w:spacing w:line="360" w:lineRule="auto"/>
        <w:ind w:firstLineChars="200" w:firstLine="420"/>
        <w:rPr>
          <w:bCs/>
        </w:rPr>
      </w:pPr>
      <w:r>
        <w:rPr>
          <w:rFonts w:hint="eastAsia"/>
          <w:bCs/>
        </w:rPr>
        <w:t>5</w:t>
      </w:r>
      <w:r>
        <w:rPr>
          <w:rFonts w:hint="eastAsia"/>
          <w:bCs/>
        </w:rPr>
        <w:t>、基金财产清算的期限为</w:t>
      </w:r>
      <w:r>
        <w:rPr>
          <w:rFonts w:hint="eastAsia"/>
          <w:bCs/>
        </w:rPr>
        <w:t>6</w:t>
      </w:r>
      <w:r>
        <w:rPr>
          <w:rFonts w:hint="eastAsia"/>
          <w:bCs/>
        </w:rPr>
        <w:t>个月，但因本基金所持证券的流动性受到限制而不能及时变现的，清算期限相应顺延。</w:t>
      </w:r>
    </w:p>
    <w:p w14:paraId="7D11525F" w14:textId="77777777" w:rsidR="00706097" w:rsidRDefault="00DA6858">
      <w:pPr>
        <w:snapToGrid w:val="0"/>
        <w:spacing w:line="360" w:lineRule="auto"/>
        <w:ind w:firstLineChars="200" w:firstLine="420"/>
        <w:rPr>
          <w:bCs/>
        </w:rPr>
      </w:pPr>
      <w:r>
        <w:rPr>
          <w:rFonts w:hint="eastAsia"/>
          <w:bCs/>
        </w:rPr>
        <w:t>（四）清算费用</w:t>
      </w:r>
    </w:p>
    <w:p w14:paraId="1C920C90" w14:textId="77777777" w:rsidR="00706097" w:rsidRDefault="00DA6858">
      <w:pPr>
        <w:snapToGrid w:val="0"/>
        <w:spacing w:line="360" w:lineRule="auto"/>
        <w:ind w:firstLineChars="200" w:firstLine="420"/>
        <w:rPr>
          <w:bCs/>
        </w:rPr>
      </w:pPr>
      <w:r>
        <w:rPr>
          <w:rFonts w:hint="eastAsia"/>
          <w:bCs/>
        </w:rPr>
        <w:t>清算费用是指基金财产清算小组在进行基金清算过程中发生的所有合理费用，清算费用由基金财产清算小组优先从基金财产中支付。</w:t>
      </w:r>
    </w:p>
    <w:p w14:paraId="29F8A224" w14:textId="77777777" w:rsidR="00706097" w:rsidRDefault="00DA6858">
      <w:pPr>
        <w:snapToGrid w:val="0"/>
        <w:spacing w:line="360" w:lineRule="auto"/>
        <w:ind w:firstLineChars="200" w:firstLine="420"/>
        <w:rPr>
          <w:bCs/>
        </w:rPr>
      </w:pPr>
      <w:r>
        <w:rPr>
          <w:rFonts w:hint="eastAsia"/>
          <w:bCs/>
        </w:rPr>
        <w:t>（五）基金财产清算剩余资产的分配</w:t>
      </w:r>
    </w:p>
    <w:p w14:paraId="427110E6" w14:textId="77777777" w:rsidR="00706097" w:rsidRDefault="00DA6858">
      <w:pPr>
        <w:snapToGrid w:val="0"/>
        <w:spacing w:line="360" w:lineRule="auto"/>
        <w:ind w:firstLineChars="200" w:firstLine="420"/>
        <w:rPr>
          <w:bCs/>
        </w:rPr>
      </w:pPr>
      <w:r>
        <w:rPr>
          <w:rFonts w:hint="eastAsia"/>
          <w:bCs/>
        </w:rPr>
        <w:t>依据基金财产清算的分配方案，将基金财产清算后的全部剩余资产扣除基金财产清算费用、交纳所欠税款并清偿基金债务后，按基金份额持有人持有的基金份额比例进行分配。</w:t>
      </w:r>
    </w:p>
    <w:p w14:paraId="06A22EE2" w14:textId="77777777" w:rsidR="00706097" w:rsidRDefault="00DA6858">
      <w:pPr>
        <w:snapToGrid w:val="0"/>
        <w:spacing w:line="360" w:lineRule="auto"/>
        <w:ind w:firstLineChars="200" w:firstLine="420"/>
        <w:rPr>
          <w:bCs/>
        </w:rPr>
      </w:pPr>
      <w:r>
        <w:rPr>
          <w:rFonts w:hint="eastAsia"/>
          <w:bCs/>
        </w:rPr>
        <w:t>（六）基金财产清算的公告</w:t>
      </w:r>
    </w:p>
    <w:p w14:paraId="16ED5A16" w14:textId="77777777" w:rsidR="00706097" w:rsidRDefault="00DA6858">
      <w:pPr>
        <w:snapToGrid w:val="0"/>
        <w:spacing w:line="360" w:lineRule="auto"/>
        <w:ind w:firstLineChars="200" w:firstLine="420"/>
        <w:rPr>
          <w:bCs/>
        </w:rPr>
      </w:pPr>
      <w:r>
        <w:rPr>
          <w:rFonts w:hint="eastAsia"/>
          <w:bCs/>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hint="eastAsia"/>
          <w:bCs/>
        </w:rPr>
        <w:t>5</w:t>
      </w:r>
      <w:r>
        <w:rPr>
          <w:rFonts w:hint="eastAsia"/>
          <w:bCs/>
        </w:rPr>
        <w:t>个工作日内由基金财产清算小组进行公告，基金财产清算小组应当将清算报告登载在指定网站上，并将清算报告提示性公告登载在指定报刊上。</w:t>
      </w:r>
    </w:p>
    <w:p w14:paraId="2AA5CA7F" w14:textId="77777777" w:rsidR="00706097" w:rsidRDefault="00DA6858">
      <w:pPr>
        <w:snapToGrid w:val="0"/>
        <w:spacing w:line="360" w:lineRule="auto"/>
        <w:ind w:firstLineChars="200" w:firstLine="420"/>
        <w:rPr>
          <w:bCs/>
        </w:rPr>
      </w:pPr>
      <w:r>
        <w:rPr>
          <w:rFonts w:hint="eastAsia"/>
          <w:bCs/>
        </w:rPr>
        <w:t>（七）基金财产清算账册及文件的保存</w:t>
      </w:r>
    </w:p>
    <w:p w14:paraId="35562F12" w14:textId="77777777" w:rsidR="00706097" w:rsidRDefault="00DA6858">
      <w:pPr>
        <w:snapToGrid w:val="0"/>
        <w:spacing w:line="360" w:lineRule="auto"/>
        <w:ind w:firstLineChars="200" w:firstLine="420"/>
        <w:rPr>
          <w:bCs/>
        </w:rPr>
      </w:pPr>
      <w:r>
        <w:rPr>
          <w:rFonts w:hint="eastAsia"/>
          <w:bCs/>
        </w:rPr>
        <w:t>基金财产清算账册及有关文件由基金托管人保存</w:t>
      </w:r>
      <w:r>
        <w:rPr>
          <w:rFonts w:hint="eastAsia"/>
          <w:bCs/>
        </w:rPr>
        <w:t>15</w:t>
      </w:r>
      <w:r>
        <w:rPr>
          <w:rFonts w:hint="eastAsia"/>
          <w:bCs/>
        </w:rPr>
        <w:t>年以上。</w:t>
      </w:r>
    </w:p>
    <w:p w14:paraId="4658A393" w14:textId="77777777" w:rsidR="00706097" w:rsidRDefault="00706097">
      <w:pPr>
        <w:snapToGrid w:val="0"/>
        <w:spacing w:line="360" w:lineRule="auto"/>
        <w:ind w:firstLineChars="200" w:firstLine="420"/>
        <w:rPr>
          <w:bCs/>
        </w:rPr>
      </w:pPr>
    </w:p>
    <w:p w14:paraId="518816AB" w14:textId="77777777" w:rsidR="00706097" w:rsidRDefault="00DA6858">
      <w:pPr>
        <w:snapToGrid w:val="0"/>
        <w:spacing w:line="360" w:lineRule="auto"/>
        <w:ind w:firstLineChars="200" w:firstLine="420"/>
        <w:rPr>
          <w:bCs/>
        </w:rPr>
      </w:pPr>
      <w:r>
        <w:rPr>
          <w:rFonts w:hint="eastAsia"/>
          <w:bCs/>
        </w:rPr>
        <w:t>四、争议</w:t>
      </w:r>
      <w:r>
        <w:rPr>
          <w:rFonts w:ascii="宋体" w:hAnsi="宋体" w:hint="eastAsia"/>
          <w:sz w:val="22"/>
          <w:lang w:val="zh-CN"/>
        </w:rPr>
        <w:t>的处理和适用的法律</w:t>
      </w:r>
    </w:p>
    <w:p w14:paraId="6CDA76E9" w14:textId="77777777" w:rsidR="00706097" w:rsidRDefault="00DA6858">
      <w:pPr>
        <w:snapToGrid w:val="0"/>
        <w:spacing w:line="360" w:lineRule="auto"/>
        <w:ind w:firstLineChars="200" w:firstLine="420"/>
        <w:rPr>
          <w:bCs/>
        </w:rPr>
      </w:pPr>
      <w:r>
        <w:rPr>
          <w:bCs/>
        </w:rPr>
        <w:t>各方当事人同意，因《基金合同》而产生的或与《基金合同》有关的一切争议，如经友好协商未能解决的，</w:t>
      </w:r>
      <w:r>
        <w:rPr>
          <w:rFonts w:hint="eastAsia"/>
          <w:bCs/>
        </w:rPr>
        <w:t>任何一方均有权将争议提交上海国际经济贸易仲裁委员会，按照该会届时有效的仲裁规则进行仲裁。仲裁地点为上海市。仲裁裁决是终局的，对各方当事人均有约束力，仲裁费用由败诉方承担。</w:t>
      </w:r>
    </w:p>
    <w:p w14:paraId="1410ABDA" w14:textId="77777777" w:rsidR="00706097" w:rsidRDefault="00DA6858">
      <w:pPr>
        <w:snapToGrid w:val="0"/>
        <w:spacing w:line="360" w:lineRule="auto"/>
        <w:ind w:firstLineChars="200" w:firstLine="420"/>
        <w:rPr>
          <w:bCs/>
        </w:rPr>
      </w:pPr>
      <w:r>
        <w:rPr>
          <w:rFonts w:hint="eastAsia"/>
          <w:bCs/>
        </w:rPr>
        <w:t>争议处理期间，基金合同当事人应恪守各自的职责，继续忠实、勤勉、尽责地履行基金合同规定的义务，维护基金份额持有人的合法权益。</w:t>
      </w:r>
    </w:p>
    <w:p w14:paraId="5E9D908D" w14:textId="77777777" w:rsidR="00706097" w:rsidRDefault="00DA6858">
      <w:pPr>
        <w:snapToGrid w:val="0"/>
        <w:spacing w:line="360" w:lineRule="auto"/>
        <w:ind w:firstLineChars="200" w:firstLine="420"/>
        <w:rPr>
          <w:bCs/>
        </w:rPr>
      </w:pPr>
      <w:r>
        <w:rPr>
          <w:bCs/>
        </w:rPr>
        <w:t>《基金合同》受中国法律管辖。</w:t>
      </w:r>
    </w:p>
    <w:p w14:paraId="5DBF6091" w14:textId="77777777" w:rsidR="00706097" w:rsidRDefault="00706097">
      <w:pPr>
        <w:snapToGrid w:val="0"/>
        <w:spacing w:line="360" w:lineRule="auto"/>
        <w:ind w:firstLineChars="200" w:firstLine="422"/>
        <w:rPr>
          <w:b/>
          <w:bCs/>
        </w:rPr>
      </w:pPr>
    </w:p>
    <w:p w14:paraId="11E8715F" w14:textId="77777777" w:rsidR="00706097" w:rsidRDefault="00DA6858">
      <w:pPr>
        <w:snapToGrid w:val="0"/>
        <w:spacing w:line="360" w:lineRule="auto"/>
        <w:ind w:firstLineChars="200" w:firstLine="420"/>
        <w:rPr>
          <w:bCs/>
        </w:rPr>
      </w:pPr>
      <w:r>
        <w:rPr>
          <w:rFonts w:hint="eastAsia"/>
          <w:bCs/>
        </w:rPr>
        <w:t>五、基金合同的存放地和投资者取得基金合同的方式</w:t>
      </w:r>
    </w:p>
    <w:p w14:paraId="1D52030F" w14:textId="77777777" w:rsidR="00706097" w:rsidRDefault="00DA6858">
      <w:pPr>
        <w:snapToGrid w:val="0"/>
        <w:spacing w:line="360" w:lineRule="auto"/>
        <w:ind w:firstLineChars="200" w:firstLine="420"/>
        <w:rPr>
          <w:bCs/>
        </w:rPr>
      </w:pPr>
      <w:r>
        <w:rPr>
          <w:rFonts w:hint="eastAsia"/>
          <w:bCs/>
        </w:rPr>
        <w:t>《基金合同》正本一式陆份，除上报有关监管机构一式贰份外，基金管理人、基金托管人各持有贰份，每份具有同等的法律效力。</w:t>
      </w:r>
    </w:p>
    <w:p w14:paraId="6E4C1D1B" w14:textId="77777777" w:rsidR="00706097" w:rsidRDefault="00DA6858">
      <w:pPr>
        <w:snapToGrid w:val="0"/>
        <w:spacing w:line="360" w:lineRule="auto"/>
        <w:ind w:firstLineChars="200" w:firstLine="420"/>
      </w:pPr>
      <w:r>
        <w:rPr>
          <w:rFonts w:hint="eastAsia"/>
          <w:bCs/>
        </w:rPr>
        <w:lastRenderedPageBreak/>
        <w:t>《基金合同》可印制成册，供投资者在基金管理人、基金托管人、销售机构的办公场所和营业场所查阅。</w:t>
      </w:r>
    </w:p>
    <w:p w14:paraId="790579A9" w14:textId="77777777" w:rsidR="00706097" w:rsidRDefault="00706097">
      <w:pPr>
        <w:snapToGrid w:val="0"/>
        <w:spacing w:line="360" w:lineRule="auto"/>
        <w:ind w:firstLineChars="200" w:firstLine="420"/>
      </w:pPr>
    </w:p>
    <w:p w14:paraId="6219351D" w14:textId="77777777" w:rsidR="00706097" w:rsidRDefault="00DA6858">
      <w:pPr>
        <w:snapToGrid w:val="0"/>
        <w:spacing w:line="360" w:lineRule="auto"/>
        <w:ind w:firstLineChars="200" w:firstLine="480"/>
        <w:rPr>
          <w:rFonts w:ascii="宋体" w:hAnsi="宋体"/>
        </w:rPr>
      </w:pPr>
      <w:r>
        <w:rPr>
          <w:rFonts w:ascii="宋体" w:hAnsi="宋体"/>
          <w:kern w:val="0"/>
          <w:sz w:val="24"/>
        </w:rPr>
        <w:br w:type="page"/>
      </w:r>
    </w:p>
    <w:p w14:paraId="7C1788F3"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21" w:name="_Toc362533468"/>
      <w:bookmarkStart w:id="322" w:name="_Toc360793863"/>
      <w:bookmarkStart w:id="323" w:name="_Toc360794529"/>
      <w:bookmarkStart w:id="324" w:name="_Toc360793511"/>
      <w:bookmarkStart w:id="325" w:name="_Toc362455196"/>
      <w:bookmarkStart w:id="326" w:name="_Toc360794421"/>
      <w:bookmarkStart w:id="327" w:name="_Toc360794113"/>
      <w:bookmarkStart w:id="328" w:name="_Toc76483033"/>
      <w:r>
        <w:rPr>
          <w:rFonts w:ascii="宋体" w:eastAsia="宋体" w:hAnsi="宋体" w:hint="eastAsia"/>
        </w:rPr>
        <w:lastRenderedPageBreak/>
        <w:t>基金托管协议的内容摘要</w:t>
      </w:r>
      <w:bookmarkEnd w:id="321"/>
      <w:bookmarkEnd w:id="322"/>
      <w:bookmarkEnd w:id="323"/>
      <w:bookmarkEnd w:id="324"/>
      <w:bookmarkEnd w:id="325"/>
      <w:bookmarkEnd w:id="326"/>
      <w:bookmarkEnd w:id="327"/>
      <w:bookmarkEnd w:id="328"/>
    </w:p>
    <w:p w14:paraId="2DEDD64D" w14:textId="77777777" w:rsidR="00706097" w:rsidRDefault="00706097">
      <w:pPr>
        <w:pStyle w:val="afffb"/>
        <w:adjustRightInd w:val="0"/>
        <w:snapToGrid w:val="0"/>
        <w:spacing w:line="360" w:lineRule="auto"/>
        <w:rPr>
          <w:rFonts w:ascii="宋体" w:hAnsi="宋体"/>
          <w:bCs/>
          <w:szCs w:val="21"/>
        </w:rPr>
      </w:pPr>
    </w:p>
    <w:p w14:paraId="184323E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一、基金托管协议当事人</w:t>
      </w:r>
    </w:p>
    <w:p w14:paraId="62C5769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（一）基金管理人</w:t>
      </w:r>
    </w:p>
    <w:p w14:paraId="4C643E2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 xml:space="preserve">名称：东海基金管理有限责任公司            </w:t>
      </w:r>
    </w:p>
    <w:p w14:paraId="3CB02A5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住所：上海市虹口区丰镇路</w:t>
      </w:r>
      <w:r>
        <w:rPr>
          <w:rFonts w:ascii="宋体" w:hAnsi="宋体"/>
          <w:bCs/>
          <w:szCs w:val="21"/>
        </w:rPr>
        <w:t>806</w:t>
      </w:r>
      <w:r>
        <w:rPr>
          <w:rFonts w:ascii="宋体" w:hAnsi="宋体" w:hint="eastAsia"/>
          <w:bCs/>
          <w:szCs w:val="21"/>
        </w:rPr>
        <w:t>号</w:t>
      </w:r>
      <w:r>
        <w:rPr>
          <w:rFonts w:ascii="宋体" w:hAnsi="宋体"/>
          <w:bCs/>
          <w:szCs w:val="21"/>
        </w:rPr>
        <w:t>3</w:t>
      </w:r>
      <w:r>
        <w:rPr>
          <w:rFonts w:ascii="宋体" w:hAnsi="宋体" w:hint="eastAsia"/>
          <w:bCs/>
          <w:szCs w:val="21"/>
        </w:rPr>
        <w:t>幢</w:t>
      </w:r>
      <w:r>
        <w:rPr>
          <w:rFonts w:ascii="宋体" w:hAnsi="宋体"/>
          <w:bCs/>
          <w:szCs w:val="21"/>
        </w:rPr>
        <w:t>360</w:t>
      </w:r>
      <w:r>
        <w:rPr>
          <w:rFonts w:ascii="宋体" w:hAnsi="宋体" w:hint="eastAsia"/>
          <w:bCs/>
          <w:szCs w:val="21"/>
        </w:rPr>
        <w:t>室</w:t>
      </w:r>
    </w:p>
    <w:p w14:paraId="4D5527D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办公地址：上海市浦东</w:t>
      </w:r>
      <w:proofErr w:type="gramStart"/>
      <w:r>
        <w:rPr>
          <w:rFonts w:ascii="宋体" w:hAnsi="宋体" w:hint="eastAsia"/>
          <w:bCs/>
          <w:szCs w:val="21"/>
        </w:rPr>
        <w:t>新区世纪</w:t>
      </w:r>
      <w:proofErr w:type="gramEnd"/>
      <w:r>
        <w:rPr>
          <w:rFonts w:ascii="宋体" w:hAnsi="宋体" w:hint="eastAsia"/>
          <w:bCs/>
          <w:szCs w:val="21"/>
        </w:rPr>
        <w:t>大道1</w:t>
      </w:r>
      <w:r>
        <w:rPr>
          <w:rFonts w:ascii="宋体" w:hAnsi="宋体"/>
          <w:bCs/>
          <w:szCs w:val="21"/>
        </w:rPr>
        <w:t>528</w:t>
      </w:r>
      <w:r>
        <w:rPr>
          <w:rFonts w:ascii="宋体" w:hAnsi="宋体" w:hint="eastAsia"/>
          <w:bCs/>
          <w:szCs w:val="21"/>
        </w:rPr>
        <w:t>号陆家</w:t>
      </w:r>
      <w:proofErr w:type="gramStart"/>
      <w:r>
        <w:rPr>
          <w:rFonts w:ascii="宋体" w:hAnsi="宋体" w:hint="eastAsia"/>
          <w:bCs/>
          <w:szCs w:val="21"/>
        </w:rPr>
        <w:t>嘴基金</w:t>
      </w:r>
      <w:proofErr w:type="gramEnd"/>
      <w:r>
        <w:rPr>
          <w:rFonts w:ascii="宋体" w:hAnsi="宋体" w:hint="eastAsia"/>
          <w:bCs/>
          <w:szCs w:val="21"/>
        </w:rPr>
        <w:t>大厦1</w:t>
      </w:r>
      <w:r>
        <w:rPr>
          <w:rFonts w:ascii="宋体" w:hAnsi="宋体"/>
          <w:bCs/>
          <w:szCs w:val="21"/>
        </w:rPr>
        <w:t>5</w:t>
      </w:r>
      <w:r>
        <w:rPr>
          <w:rFonts w:ascii="宋体" w:hAnsi="宋体" w:hint="eastAsia"/>
          <w:bCs/>
          <w:szCs w:val="21"/>
        </w:rPr>
        <w:t>楼</w:t>
      </w:r>
    </w:p>
    <w:p w14:paraId="56E653F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法定代表人：严晓珺</w:t>
      </w:r>
    </w:p>
    <w:p w14:paraId="5D2F59E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成立时间：2013年2月25日</w:t>
      </w:r>
    </w:p>
    <w:p w14:paraId="7C980D5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批准设立机关及批准设立文号：中国证监会《关于核准设立东海基金管理有限责任公司的批复》（证监许可[2013]179号）</w:t>
      </w:r>
    </w:p>
    <w:p w14:paraId="7043AA9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经营范围：公开募集证券投资基金管理、基金销售、特定客户资产管理</w:t>
      </w:r>
    </w:p>
    <w:p w14:paraId="6EF3B49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注册资本：</w:t>
      </w:r>
      <w:r>
        <w:rPr>
          <w:rFonts w:ascii="宋体" w:hAnsi="宋体"/>
          <w:bCs/>
          <w:szCs w:val="21"/>
        </w:rPr>
        <w:t>1.5</w:t>
      </w:r>
      <w:r>
        <w:rPr>
          <w:rFonts w:ascii="宋体" w:hAnsi="宋体" w:hint="eastAsia"/>
          <w:bCs/>
          <w:szCs w:val="21"/>
        </w:rPr>
        <w:t>亿元人民币</w:t>
      </w:r>
    </w:p>
    <w:p w14:paraId="1665354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组织形式：有限责任公司</w:t>
      </w:r>
    </w:p>
    <w:p w14:paraId="43B9552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存续期间：持续经营</w:t>
      </w:r>
    </w:p>
    <w:p w14:paraId="3803D49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（二）基金托管人</w:t>
      </w:r>
    </w:p>
    <w:p w14:paraId="06006E0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名称：交通银行股份有限公司（简称：交通银行）</w:t>
      </w:r>
    </w:p>
    <w:p w14:paraId="5989674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住所：上海市浦东</w:t>
      </w:r>
      <w:proofErr w:type="gramStart"/>
      <w:r>
        <w:rPr>
          <w:rFonts w:ascii="宋体" w:hAnsi="宋体" w:hint="eastAsia"/>
          <w:bCs/>
          <w:szCs w:val="21"/>
        </w:rPr>
        <w:t>新区银</w:t>
      </w:r>
      <w:proofErr w:type="gramEnd"/>
      <w:r>
        <w:rPr>
          <w:rFonts w:ascii="宋体" w:hAnsi="宋体" w:hint="eastAsia"/>
          <w:bCs/>
          <w:szCs w:val="21"/>
        </w:rPr>
        <w:t>城中路</w:t>
      </w:r>
      <w:r>
        <w:rPr>
          <w:rFonts w:ascii="宋体" w:hAnsi="宋体"/>
          <w:bCs/>
          <w:szCs w:val="21"/>
        </w:rPr>
        <w:t>188</w:t>
      </w:r>
      <w:r>
        <w:rPr>
          <w:rFonts w:ascii="宋体" w:hAnsi="宋体" w:hint="eastAsia"/>
          <w:bCs/>
          <w:szCs w:val="21"/>
        </w:rPr>
        <w:t>号（邮政编码：</w:t>
      </w:r>
      <w:r>
        <w:rPr>
          <w:rFonts w:ascii="宋体" w:hAnsi="宋体"/>
          <w:bCs/>
          <w:szCs w:val="21"/>
        </w:rPr>
        <w:t>200120</w:t>
      </w:r>
      <w:r>
        <w:rPr>
          <w:rFonts w:ascii="宋体" w:hAnsi="宋体" w:hint="eastAsia"/>
          <w:bCs/>
          <w:szCs w:val="21"/>
        </w:rPr>
        <w:t>）</w:t>
      </w:r>
    </w:p>
    <w:p w14:paraId="074B976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办公地址：上海市</w:t>
      </w:r>
      <w:proofErr w:type="gramStart"/>
      <w:r>
        <w:rPr>
          <w:rFonts w:ascii="宋体" w:hAnsi="宋体" w:hint="eastAsia"/>
          <w:bCs/>
          <w:szCs w:val="21"/>
        </w:rPr>
        <w:t>长宁区仙霞</w:t>
      </w:r>
      <w:proofErr w:type="gramEnd"/>
      <w:r>
        <w:rPr>
          <w:rFonts w:ascii="宋体" w:hAnsi="宋体" w:hint="eastAsia"/>
          <w:bCs/>
          <w:szCs w:val="21"/>
        </w:rPr>
        <w:t>路</w:t>
      </w:r>
      <w:r>
        <w:rPr>
          <w:rFonts w:ascii="宋体" w:hAnsi="宋体"/>
          <w:bCs/>
          <w:szCs w:val="21"/>
        </w:rPr>
        <w:t>18</w:t>
      </w:r>
      <w:r>
        <w:rPr>
          <w:rFonts w:ascii="宋体" w:hAnsi="宋体" w:hint="eastAsia"/>
          <w:bCs/>
          <w:szCs w:val="21"/>
        </w:rPr>
        <w:t>号（邮政编码：</w:t>
      </w:r>
      <w:r>
        <w:rPr>
          <w:rFonts w:ascii="宋体" w:hAnsi="宋体"/>
          <w:bCs/>
          <w:szCs w:val="21"/>
        </w:rPr>
        <w:t>200336</w:t>
      </w:r>
      <w:r>
        <w:rPr>
          <w:rFonts w:ascii="宋体" w:hAnsi="宋体" w:hint="eastAsia"/>
          <w:bCs/>
          <w:szCs w:val="21"/>
        </w:rPr>
        <w:t>）</w:t>
      </w:r>
    </w:p>
    <w:p w14:paraId="79FC6CB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法定代表人：任德奇</w:t>
      </w:r>
    </w:p>
    <w:p w14:paraId="63E36C9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成立时间：</w:t>
      </w:r>
      <w:r>
        <w:rPr>
          <w:rFonts w:ascii="宋体" w:hAnsi="宋体"/>
          <w:bCs/>
          <w:szCs w:val="21"/>
        </w:rPr>
        <w:t>1987</w:t>
      </w:r>
      <w:r>
        <w:rPr>
          <w:rFonts w:ascii="宋体" w:hAnsi="宋体" w:hint="eastAsia"/>
          <w:bCs/>
          <w:szCs w:val="21"/>
        </w:rPr>
        <w:t>年</w:t>
      </w:r>
      <w:r>
        <w:rPr>
          <w:rFonts w:ascii="宋体" w:hAnsi="宋体"/>
          <w:bCs/>
          <w:szCs w:val="21"/>
        </w:rPr>
        <w:t>3</w:t>
      </w:r>
      <w:r>
        <w:rPr>
          <w:rFonts w:ascii="宋体" w:hAnsi="宋体" w:hint="eastAsia"/>
          <w:bCs/>
          <w:szCs w:val="21"/>
        </w:rPr>
        <w:t>月</w:t>
      </w:r>
      <w:r>
        <w:rPr>
          <w:rFonts w:ascii="宋体" w:hAnsi="宋体"/>
          <w:bCs/>
          <w:szCs w:val="21"/>
        </w:rPr>
        <w:t>30</w:t>
      </w:r>
      <w:r>
        <w:rPr>
          <w:rFonts w:ascii="宋体" w:hAnsi="宋体" w:hint="eastAsia"/>
          <w:bCs/>
          <w:szCs w:val="21"/>
        </w:rPr>
        <w:t>日</w:t>
      </w:r>
    </w:p>
    <w:p w14:paraId="26C9BB0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批准设立机关及批准设立文号：国务院国发</w:t>
      </w:r>
      <w:r>
        <w:rPr>
          <w:rFonts w:ascii="宋体" w:hAnsi="宋体"/>
          <w:bCs/>
          <w:szCs w:val="21"/>
        </w:rPr>
        <w:t>(1986)</w:t>
      </w:r>
      <w:r>
        <w:rPr>
          <w:rFonts w:ascii="宋体" w:hAnsi="宋体" w:hint="eastAsia"/>
          <w:bCs/>
          <w:szCs w:val="21"/>
        </w:rPr>
        <w:t>字第</w:t>
      </w:r>
      <w:r>
        <w:rPr>
          <w:rFonts w:ascii="宋体" w:hAnsi="宋体"/>
          <w:bCs/>
          <w:szCs w:val="21"/>
        </w:rPr>
        <w:t xml:space="preserve">81 </w:t>
      </w:r>
      <w:r>
        <w:rPr>
          <w:rFonts w:ascii="宋体" w:hAnsi="宋体" w:hint="eastAsia"/>
          <w:bCs/>
          <w:szCs w:val="21"/>
        </w:rPr>
        <w:t>号文和中国人民银行银发［</w:t>
      </w:r>
      <w:r>
        <w:rPr>
          <w:rFonts w:ascii="宋体" w:hAnsi="宋体"/>
          <w:bCs/>
          <w:szCs w:val="21"/>
        </w:rPr>
        <w:t>1987</w:t>
      </w:r>
      <w:r>
        <w:rPr>
          <w:rFonts w:ascii="宋体" w:hAnsi="宋体" w:hint="eastAsia"/>
          <w:bCs/>
          <w:szCs w:val="21"/>
        </w:rPr>
        <w:t>］</w:t>
      </w:r>
      <w:r>
        <w:rPr>
          <w:rFonts w:ascii="宋体" w:hAnsi="宋体"/>
          <w:bCs/>
          <w:szCs w:val="21"/>
        </w:rPr>
        <w:t>40</w:t>
      </w:r>
      <w:r>
        <w:rPr>
          <w:rFonts w:ascii="宋体" w:hAnsi="宋体" w:hint="eastAsia"/>
          <w:bCs/>
          <w:szCs w:val="21"/>
        </w:rPr>
        <w:t>号文</w:t>
      </w:r>
    </w:p>
    <w:p w14:paraId="241954D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基金托管业务批准文号：中国证监会</w:t>
      </w:r>
      <w:proofErr w:type="gramStart"/>
      <w:r>
        <w:rPr>
          <w:rFonts w:ascii="宋体" w:hAnsi="宋体" w:hint="eastAsia"/>
          <w:bCs/>
          <w:szCs w:val="21"/>
        </w:rPr>
        <w:t>证监基字</w:t>
      </w:r>
      <w:proofErr w:type="gramEnd"/>
      <w:r>
        <w:rPr>
          <w:rFonts w:ascii="宋体" w:hAnsi="宋体" w:hint="eastAsia"/>
          <w:bCs/>
          <w:szCs w:val="21"/>
        </w:rPr>
        <w:t>［</w:t>
      </w:r>
      <w:r>
        <w:rPr>
          <w:rFonts w:ascii="宋体" w:hAnsi="宋体"/>
          <w:bCs/>
          <w:szCs w:val="21"/>
        </w:rPr>
        <w:t>1998</w:t>
      </w:r>
      <w:r>
        <w:rPr>
          <w:rFonts w:ascii="宋体" w:hAnsi="宋体" w:hint="eastAsia"/>
          <w:bCs/>
          <w:szCs w:val="21"/>
        </w:rPr>
        <w:t>］</w:t>
      </w:r>
      <w:r>
        <w:rPr>
          <w:rFonts w:ascii="宋体" w:hAnsi="宋体"/>
          <w:bCs/>
          <w:szCs w:val="21"/>
        </w:rPr>
        <w:t>25</w:t>
      </w:r>
      <w:r>
        <w:rPr>
          <w:rFonts w:ascii="宋体" w:hAnsi="宋体" w:hint="eastAsia"/>
          <w:bCs/>
          <w:szCs w:val="21"/>
        </w:rPr>
        <w:t>号</w:t>
      </w:r>
    </w:p>
    <w:p w14:paraId="7AD8664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业务；提供保管箱服务；经国务院银行业监督管理机构批准的其他业务；经营结汇、售汇业务。</w:t>
      </w:r>
    </w:p>
    <w:p w14:paraId="5AD908D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注册资本：</w:t>
      </w:r>
      <w:r>
        <w:rPr>
          <w:rFonts w:ascii="宋体" w:hAnsi="宋体"/>
          <w:bCs/>
          <w:szCs w:val="21"/>
        </w:rPr>
        <w:t>742.6</w:t>
      </w:r>
      <w:r>
        <w:rPr>
          <w:rFonts w:ascii="宋体" w:hAnsi="宋体" w:hint="eastAsia"/>
          <w:bCs/>
          <w:szCs w:val="21"/>
        </w:rPr>
        <w:t>3亿元人民币</w:t>
      </w:r>
    </w:p>
    <w:p w14:paraId="5334DF9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组织形式：股份有限公司</w:t>
      </w:r>
    </w:p>
    <w:p w14:paraId="2E71B81C"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存续期间：持续经营</w:t>
      </w:r>
    </w:p>
    <w:p w14:paraId="5BB0DC5E" w14:textId="77777777" w:rsidR="00706097" w:rsidRDefault="00706097">
      <w:pPr>
        <w:snapToGrid w:val="0"/>
        <w:spacing w:line="360" w:lineRule="auto"/>
        <w:ind w:firstLineChars="200" w:firstLine="420"/>
        <w:rPr>
          <w:rFonts w:ascii="宋体" w:hAnsi="宋体"/>
          <w:bCs/>
          <w:szCs w:val="21"/>
        </w:rPr>
      </w:pPr>
    </w:p>
    <w:p w14:paraId="2B02E5F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二、基金托管人对基金管理人的业务监督和核查</w:t>
      </w:r>
    </w:p>
    <w:p w14:paraId="293C9962"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（一）基金托管人对基金管理人的投资行为行使监督权</w:t>
      </w:r>
    </w:p>
    <w:p w14:paraId="14D512FB"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1.</w:t>
      </w:r>
      <w:r>
        <w:rPr>
          <w:rFonts w:ascii="宋体" w:hAnsi="宋体" w:hint="eastAsia"/>
          <w:b/>
          <w:bCs/>
          <w:szCs w:val="21"/>
        </w:rPr>
        <w:t>基金托管人根据有关法律法规的规定及《基金合同》和本协议的约定，对基金的投资范围、投资对象进行监督。</w:t>
      </w:r>
    </w:p>
    <w:p w14:paraId="4D45DA8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本基金投资于具有良好流动性的金融工具，包括债券（包括国债、地方政府债、央行票据、金融债、企业债、公司债、中期票据、短期融资</w:t>
      </w:r>
      <w:proofErr w:type="gramStart"/>
      <w:r>
        <w:rPr>
          <w:rFonts w:ascii="宋体" w:hAnsi="宋体"/>
          <w:bCs/>
          <w:szCs w:val="21"/>
        </w:rPr>
        <w:t>券</w:t>
      </w:r>
      <w:proofErr w:type="gramEnd"/>
      <w:r>
        <w:rPr>
          <w:rFonts w:ascii="宋体" w:hAnsi="宋体"/>
          <w:bCs/>
          <w:szCs w:val="21"/>
        </w:rPr>
        <w:t>、超短期融资</w:t>
      </w:r>
      <w:proofErr w:type="gramStart"/>
      <w:r>
        <w:rPr>
          <w:rFonts w:ascii="宋体" w:hAnsi="宋体"/>
          <w:bCs/>
          <w:szCs w:val="21"/>
        </w:rPr>
        <w:t>券</w:t>
      </w:r>
      <w:proofErr w:type="gramEnd"/>
      <w:r>
        <w:rPr>
          <w:rFonts w:ascii="宋体" w:hAnsi="宋体"/>
          <w:bCs/>
          <w:szCs w:val="21"/>
        </w:rPr>
        <w:t>、公开发行的次级债、可分离交易可转债的</w:t>
      </w:r>
      <w:proofErr w:type="gramStart"/>
      <w:r>
        <w:rPr>
          <w:rFonts w:ascii="宋体" w:hAnsi="宋体"/>
          <w:bCs/>
          <w:szCs w:val="21"/>
        </w:rPr>
        <w:t>纯债部分</w:t>
      </w:r>
      <w:proofErr w:type="gramEnd"/>
      <w:r>
        <w:rPr>
          <w:rFonts w:ascii="宋体" w:hAnsi="宋体"/>
          <w:bCs/>
          <w:szCs w:val="21"/>
        </w:rPr>
        <w:t xml:space="preserve">及其他经中国证监会允许 投资的债券）、资产支持证券、债券回购、银行存款、同业存单、货币市场工具等法律法规或中国证监会允许基金投资的其他金融工具，但须符合中国证监会的 相关规定。 </w:t>
      </w:r>
    </w:p>
    <w:p w14:paraId="0BDC9754"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本基金不投资于股票，也不投资于可转换债券（可分离交易可转债的</w:t>
      </w:r>
      <w:proofErr w:type="gramStart"/>
      <w:r>
        <w:rPr>
          <w:rFonts w:ascii="宋体" w:hAnsi="宋体"/>
          <w:bCs/>
          <w:szCs w:val="21"/>
        </w:rPr>
        <w:t>纯债部分</w:t>
      </w:r>
      <w:proofErr w:type="gramEnd"/>
      <w:r>
        <w:rPr>
          <w:rFonts w:ascii="宋体" w:hAnsi="宋体"/>
          <w:bCs/>
          <w:szCs w:val="21"/>
        </w:rPr>
        <w:t xml:space="preserve">除外）、可交换债券。 </w:t>
      </w:r>
    </w:p>
    <w:p w14:paraId="28A62CC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如法律法规或监管机构以后允许基金投资其他品种，基金管理人在履行适当 程序后，可以将其纳入投资范围。</w:t>
      </w:r>
    </w:p>
    <w:p w14:paraId="0A10E88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基金的投资组合比例为：本基金投资于债券资产的比例不低于基金资产的 80%，投资于短期债券的比例不低于非现金基金资产的80%。持有现金或到期日在一年以内的政府债券的投资比例不低于基金资产净值的5%，其中，现金不包括结算备付金、存出保证金、应收申购款等。</w:t>
      </w:r>
    </w:p>
    <w:p w14:paraId="45B422EF"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本基金所投资的短期债券是指剩余期限不超过397天的债券资产，主要包括国债、地方政府债、央行票据、金融债、企业债、公司债、中期票据、短期融资</w:t>
      </w:r>
      <w:proofErr w:type="gramStart"/>
      <w:r>
        <w:rPr>
          <w:rFonts w:ascii="宋体" w:hAnsi="宋体"/>
          <w:bCs/>
          <w:szCs w:val="21"/>
        </w:rPr>
        <w:t>券</w:t>
      </w:r>
      <w:proofErr w:type="gramEnd"/>
      <w:r>
        <w:rPr>
          <w:rFonts w:ascii="宋体" w:hAnsi="宋体"/>
          <w:bCs/>
          <w:szCs w:val="21"/>
        </w:rPr>
        <w:t>、超短期融资</w:t>
      </w:r>
      <w:proofErr w:type="gramStart"/>
      <w:r>
        <w:rPr>
          <w:rFonts w:ascii="宋体" w:hAnsi="宋体"/>
          <w:bCs/>
          <w:szCs w:val="21"/>
        </w:rPr>
        <w:t>券</w:t>
      </w:r>
      <w:proofErr w:type="gramEnd"/>
      <w:r>
        <w:rPr>
          <w:rFonts w:ascii="宋体" w:hAnsi="宋体"/>
          <w:bCs/>
          <w:szCs w:val="21"/>
        </w:rPr>
        <w:t>、公开发行的次级债、可分离交易可转债的</w:t>
      </w:r>
      <w:proofErr w:type="gramStart"/>
      <w:r>
        <w:rPr>
          <w:rFonts w:ascii="宋体" w:hAnsi="宋体"/>
          <w:bCs/>
          <w:szCs w:val="21"/>
        </w:rPr>
        <w:t>纯债部分</w:t>
      </w:r>
      <w:proofErr w:type="gramEnd"/>
      <w:r>
        <w:rPr>
          <w:rFonts w:ascii="宋体" w:hAnsi="宋体"/>
          <w:bCs/>
          <w:szCs w:val="21"/>
        </w:rPr>
        <w:t xml:space="preserve">等金融工具。 </w:t>
      </w:r>
    </w:p>
    <w:p w14:paraId="2AACF9A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如法律法规或中国证监会变更上述投资品种的比例限制，基金管理人在履行适当程序后，可以调整上述投资品种的投资比例。</w:t>
      </w:r>
    </w:p>
    <w:p w14:paraId="48F2327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基金托管人对基金管理人业务进行监督和核查的义务自基金合同生效日起开始履行。</w:t>
      </w:r>
    </w:p>
    <w:p w14:paraId="0E85EA6D"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2</w:t>
      </w:r>
      <w:r>
        <w:rPr>
          <w:rFonts w:ascii="宋体" w:hAnsi="宋体"/>
          <w:b/>
          <w:bCs/>
          <w:szCs w:val="21"/>
        </w:rPr>
        <w:t>.</w:t>
      </w:r>
      <w:r>
        <w:rPr>
          <w:rFonts w:ascii="宋体" w:hAnsi="宋体" w:hint="eastAsia"/>
          <w:b/>
          <w:bCs/>
          <w:szCs w:val="21"/>
        </w:rPr>
        <w:t>基金托管人根据有关法律法规的规定及《基金合同》和本协议的约定，对基金投资、融资比例进行监督。</w:t>
      </w:r>
    </w:p>
    <w:p w14:paraId="427F151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根据《基金合同》的约定，本基金投资组合比例应符合以下规定：</w:t>
      </w:r>
    </w:p>
    <w:p w14:paraId="2059D83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（1）本基金投资于债券的比例不低于基金资产的80%，其中，本基金投资于短期债券的比例不低于非现金基金资产的80%；</w:t>
      </w:r>
    </w:p>
    <w:p w14:paraId="31C9B32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（2）应当保持不低于基金资产净值5%的现金或者到期日在一年以内的政府债券；其中，现金不包括结算备付金、存出保证金和应收申购款等；</w:t>
      </w:r>
    </w:p>
    <w:p w14:paraId="21EA462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（3）本基金持有一家公司发行的证券，其市值不超过基金资产净值的10％；</w:t>
      </w:r>
    </w:p>
    <w:p w14:paraId="3391B9A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（4）本基金管理人管理的全部基金持有一家公司发行的证券，不超过该证券的10％，</w:t>
      </w:r>
      <w:r>
        <w:rPr>
          <w:rFonts w:ascii="宋体" w:hAnsi="宋体"/>
          <w:bCs/>
          <w:szCs w:val="21"/>
        </w:rPr>
        <w:t>完全按照有关指数的构成比例进行证券投资的基金品种可以不受此条款规定的比例限制</w:t>
      </w:r>
      <w:r>
        <w:rPr>
          <w:rFonts w:ascii="宋体" w:hAnsi="宋体" w:hint="eastAsia"/>
          <w:bCs/>
          <w:szCs w:val="21"/>
        </w:rPr>
        <w:t>；</w:t>
      </w:r>
    </w:p>
    <w:p w14:paraId="788C2F0E"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5</w:t>
      </w:r>
      <w:r>
        <w:rPr>
          <w:rFonts w:ascii="宋体" w:hAnsi="宋体"/>
          <w:bCs/>
          <w:szCs w:val="21"/>
        </w:rPr>
        <w:t>）本基金投资于同一原始权益人的各类资产支持证券的比例，不得超过 基金资产净</w:t>
      </w:r>
      <w:r>
        <w:rPr>
          <w:rFonts w:ascii="宋体" w:hAnsi="宋体"/>
          <w:bCs/>
          <w:szCs w:val="21"/>
        </w:rPr>
        <w:lastRenderedPageBreak/>
        <w:t xml:space="preserve">值的10%； </w:t>
      </w:r>
    </w:p>
    <w:p w14:paraId="34F621CD"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6</w:t>
      </w:r>
      <w:r>
        <w:rPr>
          <w:rFonts w:ascii="宋体" w:hAnsi="宋体"/>
          <w:bCs/>
          <w:szCs w:val="21"/>
        </w:rPr>
        <w:t xml:space="preserve">）本基金持有的全部资产支持证券，其市值不得超过基金资产净值的20%； </w:t>
      </w:r>
    </w:p>
    <w:p w14:paraId="617B76BC"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7</w:t>
      </w:r>
      <w:r>
        <w:rPr>
          <w:rFonts w:ascii="宋体" w:hAnsi="宋体"/>
          <w:bCs/>
          <w:szCs w:val="21"/>
        </w:rPr>
        <w:t xml:space="preserve">）本基金持有的同一（指同一信用级别）资产支持证券的比例，不得超过该资产支持证券规模的10%； </w:t>
      </w:r>
    </w:p>
    <w:p w14:paraId="5886EC2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8</w:t>
      </w:r>
      <w:r>
        <w:rPr>
          <w:rFonts w:ascii="宋体" w:hAnsi="宋体"/>
          <w:bCs/>
          <w:szCs w:val="21"/>
        </w:rPr>
        <w:t>）本基金管理人管理的全部基金投资于同一原始权益人的各类资产支持 证券，不得超过其各类资产支持证券合计规模的10%；</w:t>
      </w:r>
    </w:p>
    <w:p w14:paraId="4B1E768C"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9</w:t>
      </w:r>
      <w:r>
        <w:rPr>
          <w:rFonts w:ascii="宋体" w:hAnsi="宋体"/>
          <w:bCs/>
          <w:szCs w:val="21"/>
        </w:rPr>
        <w:t xml:space="preserve">）本基金应投资于信用级别评级为BBB以上（含BBB）的资产支持证券。基金持有资产支持证券期间，如果其信用等级下降、不再符合投资标准， 应在评级报告发布之日起3个月内予以全部卖出； </w:t>
      </w:r>
    </w:p>
    <w:p w14:paraId="6AB6C5A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（10）</w:t>
      </w:r>
      <w:r>
        <w:rPr>
          <w:rFonts w:ascii="宋体" w:hAnsi="宋体"/>
          <w:bCs/>
          <w:szCs w:val="21"/>
        </w:rPr>
        <w:t>本基金进入全国银行间同业市场进行债券回购的资金余额不得超过基金资产净值的40%</w:t>
      </w:r>
      <w:r>
        <w:rPr>
          <w:rFonts w:ascii="宋体" w:hAnsi="宋体" w:hint="eastAsia"/>
          <w:bCs/>
          <w:szCs w:val="21"/>
        </w:rPr>
        <w:t>，进入全国银行间同业市场进行债券回购的最长期限为1年，债券回购到期后不得展期</w:t>
      </w:r>
      <w:r>
        <w:rPr>
          <w:rFonts w:ascii="宋体" w:hAnsi="宋体"/>
          <w:bCs/>
          <w:szCs w:val="21"/>
        </w:rPr>
        <w:t>；</w:t>
      </w:r>
    </w:p>
    <w:p w14:paraId="00C98DFC"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11</w:t>
      </w:r>
      <w:r>
        <w:rPr>
          <w:rFonts w:ascii="宋体" w:hAnsi="宋体"/>
          <w:bCs/>
          <w:szCs w:val="21"/>
        </w:rPr>
        <w:t>）本基金主动投资于流动性受限资产的市值合计不得超过基金资产净值 的 15%；因证券市场波动、基金规模变动等基金管理人之外的因素致使基金不符合</w:t>
      </w:r>
      <w:r>
        <w:rPr>
          <w:rFonts w:ascii="宋体" w:hAnsi="宋体" w:hint="eastAsia"/>
          <w:bCs/>
          <w:szCs w:val="21"/>
        </w:rPr>
        <w:t>该</w:t>
      </w:r>
      <w:r>
        <w:rPr>
          <w:rFonts w:ascii="宋体" w:hAnsi="宋体"/>
          <w:bCs/>
          <w:szCs w:val="21"/>
        </w:rPr>
        <w:t xml:space="preserve">比例限制的，基金管理人不得主动新增流动性受限资产的投资； </w:t>
      </w:r>
    </w:p>
    <w:p w14:paraId="4F58A8C1"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12</w:t>
      </w:r>
      <w:r>
        <w:rPr>
          <w:rFonts w:ascii="宋体" w:hAnsi="宋体"/>
          <w:bCs/>
          <w:szCs w:val="21"/>
        </w:rPr>
        <w:t>）本基金与私募类</w:t>
      </w:r>
      <w:proofErr w:type="gramStart"/>
      <w:r>
        <w:rPr>
          <w:rFonts w:ascii="宋体" w:hAnsi="宋体"/>
          <w:bCs/>
          <w:szCs w:val="21"/>
        </w:rPr>
        <w:t>证券资管产品</w:t>
      </w:r>
      <w:proofErr w:type="gramEnd"/>
      <w:r>
        <w:rPr>
          <w:rFonts w:ascii="宋体" w:hAnsi="宋体"/>
          <w:bCs/>
          <w:szCs w:val="21"/>
        </w:rPr>
        <w:t xml:space="preserve">及中国证监会认定的其他主体为交易对手开展逆回购交易的，可接受质押品的资质要求应当与基金合同约定的投资范围 保持一致； </w:t>
      </w:r>
    </w:p>
    <w:p w14:paraId="174ED46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（13）</w:t>
      </w:r>
      <w:r>
        <w:rPr>
          <w:rFonts w:ascii="宋体" w:hAnsi="宋体"/>
          <w:bCs/>
          <w:szCs w:val="21"/>
        </w:rPr>
        <w:t>本基金资产总值不超过基金资产净值的140%</w:t>
      </w:r>
      <w:r>
        <w:rPr>
          <w:rFonts w:ascii="宋体" w:hAnsi="宋体" w:hint="eastAsia"/>
          <w:bCs/>
          <w:szCs w:val="21"/>
        </w:rPr>
        <w:t>；</w:t>
      </w:r>
    </w:p>
    <w:p w14:paraId="46371BA8"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（14）法律法规及中国证监会规定的和基金合同约定的其他投资限制。</w:t>
      </w:r>
    </w:p>
    <w:p w14:paraId="4B2CC44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除第（2）、（9）、（11）、（1</w:t>
      </w:r>
      <w:r>
        <w:rPr>
          <w:rFonts w:ascii="宋体" w:hAnsi="宋体"/>
          <w:bCs/>
          <w:szCs w:val="21"/>
        </w:rPr>
        <w:t>2</w:t>
      </w:r>
      <w:r>
        <w:rPr>
          <w:rFonts w:ascii="宋体" w:hAnsi="宋体" w:hint="eastAsia"/>
          <w:bCs/>
          <w:szCs w:val="21"/>
        </w:rPr>
        <w:t>）项外，因证券市场波动、证券发行人合并、基金规模变动等基金管理人之外的因素致使基金投资比例不符合上述规定投资比例的，基金管理人应当在10个交易日内进行调整，但中国证监会规定的特殊情形除外。</w:t>
      </w:r>
      <w:r>
        <w:rPr>
          <w:rFonts w:ascii="宋体" w:hAnsi="宋体"/>
          <w:bCs/>
          <w:szCs w:val="21"/>
        </w:rPr>
        <w:t>法律法规另有规定的，从其规定。</w:t>
      </w:r>
    </w:p>
    <w:p w14:paraId="0F721C1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7ABE7A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法律法规或监管部门取消上述限制，如适用于本基金，基金管理人在履行适当程序后，</w:t>
      </w:r>
      <w:r>
        <w:rPr>
          <w:rFonts w:ascii="宋体" w:hAnsi="宋体"/>
          <w:bCs/>
          <w:szCs w:val="21"/>
        </w:rPr>
        <w:t>则本基金投资不再受相关限制或以调整后的规定执行，但须提前公告，不需要经基金份额持有人大会审议。</w:t>
      </w:r>
    </w:p>
    <w:p w14:paraId="08E3014F"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3</w:t>
      </w:r>
      <w:r>
        <w:rPr>
          <w:rFonts w:ascii="宋体" w:hAnsi="宋体"/>
          <w:b/>
          <w:bCs/>
          <w:szCs w:val="21"/>
        </w:rPr>
        <w:t>.</w:t>
      </w:r>
      <w:r>
        <w:rPr>
          <w:rFonts w:ascii="宋体" w:hAnsi="宋体" w:hint="eastAsia"/>
          <w:b/>
          <w:bCs/>
          <w:szCs w:val="21"/>
        </w:rPr>
        <w:t>基金托管人根据有关法律法规的规定及基金合同和本协议的约定，对基金投资禁止行为进行监督。基金财产不得用于下列投资或者活动。</w:t>
      </w:r>
    </w:p>
    <w:p w14:paraId="07B5EF0C"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（1）承销证券；</w:t>
      </w:r>
    </w:p>
    <w:p w14:paraId="69A04D7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（2）违反规定向他人贷款或者提供担保；</w:t>
      </w:r>
    </w:p>
    <w:p w14:paraId="45C7B6B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（3）从事承担无限责任的投资；</w:t>
      </w:r>
    </w:p>
    <w:p w14:paraId="19B9CCC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（4）买卖其他基金份额，但是中国证监会另有规定的除外；</w:t>
      </w:r>
    </w:p>
    <w:p w14:paraId="07F17B2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（5）向其基金管理人、基金托管人出资；</w:t>
      </w:r>
    </w:p>
    <w:p w14:paraId="560F76D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（6）从事内幕交易、操纵证券交易价格及其他不正当的证券交易活动；</w:t>
      </w:r>
    </w:p>
    <w:p w14:paraId="2A4EFBDC"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（7）法律、行政法规和中国证监会规定禁止的其他活动。</w:t>
      </w:r>
    </w:p>
    <w:p w14:paraId="3320F40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23E608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法律法规或监管部门取消上述组合限制、禁止行为规定的条件和要求，本基金可不受相关限制。</w:t>
      </w:r>
    </w:p>
    <w:p w14:paraId="7E08CB90" w14:textId="77777777" w:rsidR="00706097" w:rsidRDefault="00DA6858">
      <w:pPr>
        <w:snapToGrid w:val="0"/>
        <w:spacing w:line="360" w:lineRule="auto"/>
        <w:ind w:firstLineChars="200" w:firstLine="422"/>
        <w:rPr>
          <w:rFonts w:ascii="宋体" w:hAnsi="宋体"/>
          <w:b/>
          <w:bCs/>
          <w:szCs w:val="21"/>
        </w:rPr>
      </w:pPr>
      <w:bookmarkStart w:id="329" w:name="OLE_LINK4"/>
      <w:bookmarkStart w:id="330" w:name="OLE_LINK2"/>
      <w:r>
        <w:rPr>
          <w:rFonts w:ascii="宋体" w:hAnsi="宋体" w:hint="eastAsia"/>
          <w:b/>
          <w:bCs/>
          <w:szCs w:val="21"/>
        </w:rPr>
        <w:t>4</w:t>
      </w:r>
      <w:r>
        <w:rPr>
          <w:rFonts w:ascii="宋体" w:hAnsi="宋体"/>
          <w:b/>
          <w:bCs/>
          <w:szCs w:val="21"/>
        </w:rPr>
        <w:t>.</w:t>
      </w:r>
      <w:r>
        <w:rPr>
          <w:rFonts w:ascii="宋体" w:hAnsi="宋体" w:hint="eastAsia"/>
          <w:b/>
          <w:bCs/>
          <w:szCs w:val="21"/>
        </w:rPr>
        <w:t>基金托管人根据有关法律法规的规定及基金合同和本协议的约定，对基金管理人参与银行间债券市场进行监督。</w:t>
      </w:r>
    </w:p>
    <w:bookmarkEnd w:id="329"/>
    <w:bookmarkEnd w:id="330"/>
    <w:p w14:paraId="327654F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w:t>
      </w:r>
      <w:r>
        <w:rPr>
          <w:rFonts w:ascii="宋体" w:hAnsi="宋体" w:hint="eastAsia"/>
          <w:bCs/>
          <w:szCs w:val="21"/>
        </w:rPr>
        <w:t>）基金托管人依据有关法律法规的规定和《基金合同》的约定对于基金管理人参与银行间债券市场交易时面临的交易对手资信风险进行监督。</w:t>
      </w:r>
    </w:p>
    <w:p w14:paraId="00A55E5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基金管理人向基金托管人提供符合法律法规及行业标准的银行间债券市场交易对手的名单。基金托管人在收到名单后</w:t>
      </w:r>
      <w:r>
        <w:rPr>
          <w:rFonts w:ascii="宋体" w:hAnsi="宋体"/>
          <w:bCs/>
          <w:szCs w:val="21"/>
        </w:rPr>
        <w:t>2</w:t>
      </w:r>
      <w:r>
        <w:rPr>
          <w:rFonts w:ascii="宋体" w:hAnsi="宋体" w:hint="eastAsia"/>
          <w:bCs/>
          <w:szCs w:val="21"/>
        </w:rPr>
        <w:t>个工作日内电话或回函确认收到该名单。基金管理人应定期和不定期对银行间债券市场现券及回购交易对手的名单进行更新。基金托管人在收到名单后</w:t>
      </w:r>
      <w:r>
        <w:rPr>
          <w:rFonts w:ascii="宋体" w:hAnsi="宋体"/>
          <w:bCs/>
          <w:szCs w:val="21"/>
        </w:rPr>
        <w:t>2</w:t>
      </w:r>
      <w:r>
        <w:rPr>
          <w:rFonts w:ascii="宋体" w:hAnsi="宋体" w:hint="eastAsia"/>
          <w:bCs/>
          <w:szCs w:val="21"/>
        </w:rPr>
        <w:t>个工作日内电话或书面回函确认，新名单自基金托管人确认当日生效。新名单生效前已与本次剔除的交易对手所进行但尚未结算的交易，仍应按照协议进行结算。</w:t>
      </w:r>
    </w:p>
    <w:p w14:paraId="63202F2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w:t>
      </w:r>
      <w:r>
        <w:rPr>
          <w:rFonts w:ascii="宋体" w:hAnsi="宋体" w:hint="eastAsia"/>
          <w:bCs/>
          <w:szCs w:val="21"/>
        </w:rPr>
        <w:t>）基金管理人参与银行间债券市场交易时，有责任控制交易对手的资信风险，由于交易对手资信风险引起的损失</w:t>
      </w:r>
      <w:r>
        <w:rPr>
          <w:rFonts w:ascii="宋体" w:hAnsi="宋体"/>
          <w:bCs/>
          <w:szCs w:val="21"/>
        </w:rPr>
        <w:t>,</w:t>
      </w:r>
      <w:r>
        <w:rPr>
          <w:rFonts w:ascii="宋体" w:hAnsi="宋体" w:hint="eastAsia"/>
          <w:bCs/>
          <w:szCs w:val="21"/>
        </w:rPr>
        <w:t>基金管理人应当负责向相关责任人追偿。</w:t>
      </w:r>
    </w:p>
    <w:p w14:paraId="64BEC4D0"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5</w:t>
      </w:r>
      <w:r>
        <w:rPr>
          <w:rFonts w:ascii="宋体" w:hAnsi="宋体"/>
          <w:b/>
          <w:bCs/>
          <w:szCs w:val="21"/>
        </w:rPr>
        <w:t>.</w:t>
      </w:r>
      <w:r>
        <w:rPr>
          <w:rFonts w:ascii="宋体" w:hAnsi="宋体" w:hint="eastAsia"/>
          <w:b/>
          <w:bCs/>
          <w:szCs w:val="21"/>
        </w:rPr>
        <w:t>基金托管人根据有关法律法规的规定及基金合同和本协议的约定，对基金管理人选择存款银行进行监督。</w:t>
      </w:r>
    </w:p>
    <w:p w14:paraId="0591415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基金投资银行定期存款的，基金管理人应根据法律法规的规定及基金合同的约定选择符合条件的存款银行，基金托管人根据托管协议的约定对基金投资银行存款是否符合有关规定进行监督。</w:t>
      </w:r>
    </w:p>
    <w:p w14:paraId="3084A86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本基金投资银行存款应符合如下规定：</w:t>
      </w:r>
    </w:p>
    <w:p w14:paraId="6C3C822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（1）基金管理人、基金托管人应当与存款银行建立定期对账机制，确保基金银行存款业务账目及核算的真实、准确。</w:t>
      </w:r>
    </w:p>
    <w:p w14:paraId="685A081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（2）基金管理人与基金托管人应根据相关规定，就本基金银行存款业务另行签订书面协议，明确双方在相关协议签署、账户开设与管理、投资指令传达与执行、资金划拨、账目</w:t>
      </w:r>
      <w:r>
        <w:rPr>
          <w:rFonts w:ascii="宋体" w:hAnsi="宋体" w:hint="eastAsia"/>
          <w:bCs/>
          <w:szCs w:val="21"/>
        </w:rPr>
        <w:lastRenderedPageBreak/>
        <w:t>核对、到期兑付、文件保管以及存款证实书的开立、传递、保管等流程中的权利、义务和职责，以确保基金财产的安全，保护基金份额持有人的合法权益。</w:t>
      </w:r>
    </w:p>
    <w:p w14:paraId="60F5CA0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（3）基金托管人应加强对基金银行存款业务的监督与核查，严格审查、复核相关协议、账户资料、投资指令、存款证实书等有关文件，切实履行托管职责。</w:t>
      </w:r>
    </w:p>
    <w:p w14:paraId="5055312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（4）基金管理人与基金托管人在开展基金存款业务时，应严格遵守《基金法》、《运作办法》等有关法律法规，以及国家有关账户管理、利率管理、支付结算等的各项规定。</w:t>
      </w:r>
    </w:p>
    <w:p w14:paraId="6F4CB775" w14:textId="77777777" w:rsidR="00706097" w:rsidRDefault="00DA6858">
      <w:pPr>
        <w:snapToGrid w:val="0"/>
        <w:spacing w:line="360" w:lineRule="auto"/>
        <w:ind w:firstLineChars="200" w:firstLine="422"/>
        <w:rPr>
          <w:rFonts w:ascii="宋体" w:hAnsi="宋体"/>
          <w:b/>
          <w:bCs/>
          <w:szCs w:val="21"/>
        </w:rPr>
      </w:pPr>
      <w:r>
        <w:rPr>
          <w:rFonts w:ascii="宋体" w:hAnsi="宋体"/>
          <w:b/>
          <w:bCs/>
          <w:szCs w:val="21"/>
        </w:rPr>
        <w:t>6.</w:t>
      </w:r>
      <w:r>
        <w:rPr>
          <w:rFonts w:ascii="宋体" w:hAnsi="宋体" w:hint="eastAsia"/>
          <w:b/>
          <w:bCs/>
          <w:szCs w:val="21"/>
        </w:rPr>
        <w:t>基金托管人根据法律法规的规定及《基金合同》和本协议的约定，对基金投资其他方面进行监督。</w:t>
      </w:r>
    </w:p>
    <w:p w14:paraId="6D26E61B"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w:t>
      </w:r>
      <w:proofErr w:type="gramStart"/>
      <w:r>
        <w:rPr>
          <w:rFonts w:ascii="宋体" w:hAnsi="宋体" w:hint="eastAsia"/>
          <w:b/>
          <w:bCs/>
          <w:szCs w:val="21"/>
        </w:rPr>
        <w:t>则基金</w:t>
      </w:r>
      <w:proofErr w:type="gramEnd"/>
      <w:r>
        <w:rPr>
          <w:rFonts w:ascii="宋体" w:hAnsi="宋体" w:hint="eastAsia"/>
          <w:b/>
          <w:bCs/>
          <w:szCs w:val="21"/>
        </w:rPr>
        <w:t>托管人对此不承担任何责任，并有权在发现后报告中国证监会。</w:t>
      </w:r>
    </w:p>
    <w:p w14:paraId="08569B83"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7D98B43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发现基金管理人的投资指令或实际投资运作违反《基金法》及其他有关法规、《基金合同》和本协议规定的行为，应及时以书面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6647D5E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基金托管人发现基金管理人有重大违规行为，应立即报告中国证监会，同时通知基金管理人在限期内纠正。</w:t>
      </w:r>
    </w:p>
    <w:p w14:paraId="6CE643C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基金托管人发现基金管理人的指令违反法律、行政法规和其他有关规定，或者违反《基金合同》约定的，应当拒绝执行，立即通知基金管理人，并有权向中国证监会报告。</w:t>
      </w:r>
    </w:p>
    <w:p w14:paraId="58C2237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基金托管人发现基金管理人依据交易程序已经生效的指令违反法律、行政法规和其他有关规定，或者违反《基金合同》约定的，应当立即通知基金管理人，并有权向中国证监会报告。</w:t>
      </w:r>
    </w:p>
    <w:p w14:paraId="2AD7A336" w14:textId="77777777" w:rsidR="00706097" w:rsidRDefault="00706097">
      <w:pPr>
        <w:snapToGrid w:val="0"/>
        <w:spacing w:line="360" w:lineRule="auto"/>
        <w:ind w:firstLineChars="200" w:firstLine="420"/>
        <w:rPr>
          <w:rFonts w:ascii="宋体" w:hAnsi="宋体"/>
          <w:bCs/>
          <w:szCs w:val="21"/>
        </w:rPr>
      </w:pPr>
    </w:p>
    <w:p w14:paraId="2D9D28A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三、基金管理人对基金托管人的业务核查</w:t>
      </w:r>
    </w:p>
    <w:p w14:paraId="012E81C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根据《基金法》及其他有关法规、《基金合同》和本协议规定，基金管理人对基金托管人履行托管职责的情况进行核查，核查事项包括但不限于基金托管人是否安全保管基金财产、开立基金财产的资金账户和证券账户及债券托管账户等投资所需账户，是否及时、准确</w:t>
      </w:r>
      <w:r>
        <w:rPr>
          <w:rFonts w:ascii="宋体" w:hAnsi="宋体" w:hint="eastAsia"/>
          <w:bCs/>
          <w:szCs w:val="21"/>
        </w:rPr>
        <w:lastRenderedPageBreak/>
        <w:t>复核基金管理人计算的基金资产净值和各类基金份额净值，是否根据基金管理人指令办理清算交收，是否按照法规规定和《基金合同》规定进行相关信息披露和监督基金投资运作等行为。</w:t>
      </w:r>
    </w:p>
    <w:p w14:paraId="7035EF6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基金管理人定期和不定期地对基金托管人保管的基金资产进行核查。基金托管人应积极配合基金管理人的核查行为，包括但不限于：提交相关资料以</w:t>
      </w:r>
      <w:proofErr w:type="gramStart"/>
      <w:r>
        <w:rPr>
          <w:rFonts w:ascii="宋体" w:hAnsi="宋体" w:hint="eastAsia"/>
          <w:bCs/>
          <w:szCs w:val="21"/>
        </w:rPr>
        <w:t>供基金</w:t>
      </w:r>
      <w:proofErr w:type="gramEnd"/>
      <w:r>
        <w:rPr>
          <w:rFonts w:ascii="宋体" w:hAnsi="宋体" w:hint="eastAsia"/>
          <w:bCs/>
          <w:szCs w:val="21"/>
        </w:rPr>
        <w:t>管理人核查托管财产的完整性和真实性，在规定时间内答复并改正。</w:t>
      </w:r>
    </w:p>
    <w:p w14:paraId="602E5E7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6DEBFAF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基金管理人发现基金托管人有重大违规行为，应立即报告中国证监会，同时通知基金托管人在限期内纠正。</w:t>
      </w:r>
    </w:p>
    <w:p w14:paraId="1106A9FF" w14:textId="77777777" w:rsidR="00706097" w:rsidRDefault="00706097">
      <w:pPr>
        <w:snapToGrid w:val="0"/>
        <w:spacing w:line="360" w:lineRule="auto"/>
        <w:ind w:firstLineChars="200" w:firstLine="420"/>
        <w:rPr>
          <w:rFonts w:ascii="宋体" w:hAnsi="宋体"/>
          <w:bCs/>
          <w:szCs w:val="21"/>
        </w:rPr>
      </w:pPr>
    </w:p>
    <w:p w14:paraId="47B4693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四、基金财产保管</w:t>
      </w:r>
    </w:p>
    <w:p w14:paraId="6F343033" w14:textId="77777777" w:rsidR="00706097" w:rsidRDefault="00DA6858">
      <w:pPr>
        <w:snapToGrid w:val="0"/>
        <w:spacing w:line="360" w:lineRule="auto"/>
        <w:ind w:firstLineChars="200" w:firstLine="422"/>
        <w:rPr>
          <w:rFonts w:ascii="宋体" w:hAnsi="宋体"/>
          <w:b/>
          <w:bCs/>
          <w:szCs w:val="21"/>
        </w:rPr>
      </w:pPr>
      <w:bookmarkStart w:id="331" w:name="_Toc37159173"/>
      <w:bookmarkStart w:id="332" w:name="_Toc77662997"/>
      <w:r>
        <w:rPr>
          <w:rFonts w:ascii="宋体" w:hAnsi="宋体" w:hint="eastAsia"/>
          <w:b/>
          <w:bCs/>
          <w:szCs w:val="21"/>
        </w:rPr>
        <w:t>（一）基金财产保管的原则</w:t>
      </w:r>
      <w:bookmarkEnd w:id="331"/>
      <w:bookmarkEnd w:id="332"/>
    </w:p>
    <w:p w14:paraId="402A059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w:t>
      </w:r>
      <w:r>
        <w:rPr>
          <w:rFonts w:ascii="宋体" w:hAnsi="宋体" w:hint="eastAsia"/>
          <w:bCs/>
          <w:szCs w:val="21"/>
        </w:rPr>
        <w:t>基金托管人应安全保管基金财产，未经基金管理人的指令，不得自行运用、处分、分配基金的任何资产。</w:t>
      </w:r>
    </w:p>
    <w:p w14:paraId="272575C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基金财产应独立于基金管理人、基金托管人的固有财产。</w:t>
      </w:r>
    </w:p>
    <w:p w14:paraId="632534A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w:t>
      </w:r>
      <w:r>
        <w:rPr>
          <w:rFonts w:ascii="宋体" w:hAnsi="宋体"/>
          <w:bCs/>
          <w:szCs w:val="21"/>
        </w:rPr>
        <w:t>.</w:t>
      </w:r>
      <w:r>
        <w:rPr>
          <w:rFonts w:ascii="宋体" w:hAnsi="宋体" w:hint="eastAsia"/>
          <w:bCs/>
          <w:szCs w:val="21"/>
        </w:rPr>
        <w:t>基金托管人按照规定开立基金财产的资金账户、证券账户和债券托管账户等投资所需账户。</w:t>
      </w:r>
    </w:p>
    <w:p w14:paraId="2561DC3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w:t>
      </w:r>
      <w:r>
        <w:rPr>
          <w:rFonts w:ascii="宋体" w:hAnsi="宋体" w:hint="eastAsia"/>
          <w:bCs/>
          <w:szCs w:val="21"/>
        </w:rPr>
        <w:t>基金托管人对所托管的不同基金财产分别设置账户，确保基金财产的完整和独立。</w:t>
      </w:r>
    </w:p>
    <w:p w14:paraId="3648D80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w:t>
      </w:r>
      <w:r>
        <w:rPr>
          <w:rFonts w:ascii="宋体" w:hAnsi="宋体"/>
          <w:bCs/>
          <w:szCs w:val="21"/>
        </w:rPr>
        <w:t>.</w:t>
      </w:r>
      <w:r>
        <w:rPr>
          <w:rFonts w:ascii="宋体" w:hAnsi="宋体" w:hint="eastAsia"/>
          <w:bCs/>
          <w:szCs w:val="21"/>
        </w:rPr>
        <w:t>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333" w:name="_Toc77662998"/>
      <w:bookmarkStart w:id="334" w:name="_Toc37159174"/>
      <w:r>
        <w:rPr>
          <w:rFonts w:ascii="宋体" w:hAnsi="宋体" w:hint="eastAsia"/>
          <w:bCs/>
          <w:szCs w:val="21"/>
        </w:rPr>
        <w:t>基金托管人对此不承担任何责任。</w:t>
      </w:r>
    </w:p>
    <w:p w14:paraId="23948665"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（二）基金募集资产的验证</w:t>
      </w:r>
      <w:bookmarkEnd w:id="333"/>
      <w:bookmarkEnd w:id="334"/>
    </w:p>
    <w:p w14:paraId="13F4A23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基金募集期满或基金提前结束募集之日起</w:t>
      </w:r>
      <w:r>
        <w:rPr>
          <w:rFonts w:ascii="宋体" w:hAnsi="宋体"/>
          <w:bCs/>
          <w:szCs w:val="21"/>
        </w:rPr>
        <w:t>10</w:t>
      </w:r>
      <w:r>
        <w:rPr>
          <w:rFonts w:ascii="宋体" w:hAnsi="宋体" w:hint="eastAsia"/>
          <w:bCs/>
          <w:szCs w:val="21"/>
        </w:rPr>
        <w:t>日内，由基金管理人聘请具有从事证券相关业务资格的会计师事务所进行验资，出具验资报告，出具的验资报告应由参加验资的</w:t>
      </w:r>
      <w:r>
        <w:rPr>
          <w:rFonts w:ascii="宋体" w:hAnsi="宋体"/>
          <w:bCs/>
          <w:szCs w:val="21"/>
        </w:rPr>
        <w:t>2</w:t>
      </w:r>
      <w:r>
        <w:rPr>
          <w:rFonts w:ascii="宋体" w:hAnsi="宋体" w:hint="eastAsia"/>
          <w:bCs/>
          <w:szCs w:val="21"/>
        </w:rPr>
        <w:t>名以上（含</w:t>
      </w:r>
      <w:r>
        <w:rPr>
          <w:rFonts w:ascii="宋体" w:hAnsi="宋体"/>
          <w:bCs/>
          <w:szCs w:val="21"/>
        </w:rPr>
        <w:t>2</w:t>
      </w:r>
      <w:r>
        <w:rPr>
          <w:rFonts w:ascii="宋体" w:hAnsi="宋体" w:hint="eastAsia"/>
          <w:bCs/>
          <w:szCs w:val="21"/>
        </w:rPr>
        <w:t>名）中国注册会计师签字有效。验资完成，基金管理人应将募集到的全部资金存入基金托管人为基金开立的基金银行存款账户中，基金托管人在收到资金当日出具相关证明文件。</w:t>
      </w:r>
      <w:bookmarkStart w:id="335" w:name="_Toc37159176"/>
      <w:bookmarkStart w:id="336" w:name="_Toc77663000"/>
    </w:p>
    <w:p w14:paraId="2AFFE36F"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lastRenderedPageBreak/>
        <w:t>（三）基金的银行存款账户的开立和管理</w:t>
      </w:r>
      <w:bookmarkEnd w:id="335"/>
      <w:bookmarkEnd w:id="336"/>
    </w:p>
    <w:p w14:paraId="35C4EFCB"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w:t>
      </w:r>
      <w:r>
        <w:rPr>
          <w:rFonts w:ascii="宋体" w:hAnsi="宋体" w:hint="eastAsia"/>
          <w:bCs/>
          <w:szCs w:val="21"/>
        </w:rPr>
        <w:t>基金托管人应负责本基金银行存款账户的开立和管理。</w:t>
      </w:r>
    </w:p>
    <w:p w14:paraId="5F3009B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基金托管人以本基金的名义在其营业机构开立基金的银行存款账户，并根据基金管理人合法合</w:t>
      </w:r>
      <w:proofErr w:type="gramStart"/>
      <w:r>
        <w:rPr>
          <w:rFonts w:ascii="宋体" w:hAnsi="宋体" w:hint="eastAsia"/>
          <w:bCs/>
          <w:szCs w:val="21"/>
        </w:rPr>
        <w:t>规</w:t>
      </w:r>
      <w:proofErr w:type="gramEnd"/>
      <w:r>
        <w:rPr>
          <w:rFonts w:ascii="宋体" w:hAnsi="宋体" w:hint="eastAsia"/>
          <w:bCs/>
          <w:szCs w:val="21"/>
        </w:rPr>
        <w:t>的指令办理资金收付。本基金的银行预留印鉴由基金托管人保管和使用。</w:t>
      </w:r>
    </w:p>
    <w:p w14:paraId="50F2DDC5"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w:t>
      </w:r>
      <w:r>
        <w:rPr>
          <w:rFonts w:ascii="宋体" w:hAnsi="宋体"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1032B24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w:t>
      </w:r>
      <w:r>
        <w:rPr>
          <w:rFonts w:ascii="宋体" w:hAnsi="宋体" w:hint="eastAsia"/>
          <w:bCs/>
          <w:szCs w:val="21"/>
        </w:rPr>
        <w:t>基金托管人可以通过申请开通本基金银行账户的企业网上银行业务进行资金支付，并使用交通银行企业网上银行（简称“交通银行网银”）办理托管资产的资金结算汇划业务。</w:t>
      </w:r>
    </w:p>
    <w:p w14:paraId="03EEDE6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w:t>
      </w:r>
      <w:r>
        <w:rPr>
          <w:rFonts w:ascii="宋体" w:hAnsi="宋体"/>
          <w:bCs/>
          <w:szCs w:val="21"/>
        </w:rPr>
        <w:t>.</w:t>
      </w:r>
      <w:r>
        <w:rPr>
          <w:rFonts w:ascii="宋体" w:hAnsi="宋体" w:hint="eastAsia"/>
          <w:bCs/>
          <w:szCs w:val="21"/>
        </w:rPr>
        <w:t>基金银行存款账户的管理应符合银行业监督管理机构的有关规定。</w:t>
      </w:r>
      <w:bookmarkStart w:id="337" w:name="_Toc37159177"/>
      <w:bookmarkStart w:id="338" w:name="_Toc77663001"/>
    </w:p>
    <w:p w14:paraId="7DD62818"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（四）基金证券交收账户、资金交收账户的开立和管理</w:t>
      </w:r>
      <w:bookmarkEnd w:id="337"/>
      <w:bookmarkEnd w:id="338"/>
    </w:p>
    <w:p w14:paraId="1BCD206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基金托管人以基金托管人和本基金联名的方式在中国证券登记结算有限责任公司开立证券账户。</w:t>
      </w:r>
    </w:p>
    <w:p w14:paraId="2760B05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4358BCF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基金管理人不得对基金证券交收账户、资金交收账户进行证券的超卖或超买。</w:t>
      </w:r>
    </w:p>
    <w:p w14:paraId="3E550EC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以基金托管人的名义在中国证券登记结算有限责任公司开立结算备付金账户即资金交收账户，用于证券交易资金的结算。基金托管人以本基金的名义在托管人处开立基金的证券交易资金结算的二级结算备付金账户。</w:t>
      </w:r>
      <w:bookmarkStart w:id="339" w:name="_Toc77663003"/>
      <w:bookmarkStart w:id="340" w:name="_Toc37159179"/>
    </w:p>
    <w:p w14:paraId="60253FC9"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（五）债券托管账户的开立和管理</w:t>
      </w:r>
    </w:p>
    <w:p w14:paraId="100CEB2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w:t>
      </w:r>
      <w:r>
        <w:rPr>
          <w:rFonts w:ascii="宋体" w:hAnsi="宋体" w:hint="eastAsia"/>
          <w:bCs/>
          <w:szCs w:val="21"/>
        </w:rPr>
        <w:t>基金合同生效后，基金托管人负责向人民银行进行报备，并在备案通过后在中央国债登记结算有限责任公司及银行间市场清算所股份有限公司以本基金的名义开立债券托管账户，并由基金托管人负责基金的债券及资金的清算。基金管理人负责申请基金进入全国银行间同业拆借市场进行交易，由基金管理人在中国外汇交易中心开设同业拆借市场交易账户。</w:t>
      </w:r>
    </w:p>
    <w:p w14:paraId="5AA5BE3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基金管理人代表基金签订全国银行间债券市场债券回购主协议，协议正本由基金管理人保存。</w:t>
      </w:r>
    </w:p>
    <w:p w14:paraId="237EFA4E"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（六）其他账户的开立和管理</w:t>
      </w:r>
    </w:p>
    <w:p w14:paraId="5955504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8F4F095"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（七）基金财产投资的有关实物证券、银行存款定期存单等有价凭证的保管</w:t>
      </w:r>
      <w:bookmarkEnd w:id="339"/>
      <w:bookmarkEnd w:id="340"/>
    </w:p>
    <w:p w14:paraId="27BE609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实物证券由基金托管人存放于基金托管人的保管库。实物证券的购买和转让，由基金托管人根据基金管理人的指令办理。基金托管人对由基金托管人以外机构实际有效控制的本基</w:t>
      </w:r>
      <w:r>
        <w:rPr>
          <w:rFonts w:ascii="宋体" w:hAnsi="宋体" w:hint="eastAsia"/>
          <w:bCs/>
          <w:szCs w:val="21"/>
        </w:rPr>
        <w:lastRenderedPageBreak/>
        <w:t>金资产不承担保管责任。</w:t>
      </w:r>
    </w:p>
    <w:p w14:paraId="4D8C603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银行存款定期存单等有价凭证由基金托管人负责保管。</w:t>
      </w:r>
    </w:p>
    <w:p w14:paraId="1D54E6C5" w14:textId="77777777" w:rsidR="00706097" w:rsidRDefault="00DA6858">
      <w:pPr>
        <w:snapToGrid w:val="0"/>
        <w:spacing w:line="360" w:lineRule="auto"/>
        <w:ind w:firstLineChars="200" w:firstLine="422"/>
        <w:rPr>
          <w:rFonts w:ascii="宋体" w:hAnsi="宋体"/>
          <w:b/>
          <w:bCs/>
          <w:szCs w:val="21"/>
        </w:rPr>
      </w:pPr>
      <w:bookmarkStart w:id="341" w:name="_Toc77663004"/>
      <w:bookmarkStart w:id="342" w:name="_Toc37159180"/>
      <w:r>
        <w:rPr>
          <w:rFonts w:ascii="宋体" w:hAnsi="宋体" w:hint="eastAsia"/>
          <w:b/>
          <w:bCs/>
          <w:szCs w:val="21"/>
        </w:rPr>
        <w:t>（八）与基金财产有关的重大合同的保管</w:t>
      </w:r>
      <w:bookmarkEnd w:id="341"/>
      <w:bookmarkEnd w:id="342"/>
    </w:p>
    <w:p w14:paraId="5D25C88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0D8B401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对于无法取得二份以上的正本的，基金管理人应向基金托管人提供加盖授权业务章的合同传真件，未经双方协商或未在合同约定范围内，合同原件不得转移。</w:t>
      </w:r>
    </w:p>
    <w:p w14:paraId="32263953" w14:textId="77777777" w:rsidR="00706097" w:rsidRDefault="00706097">
      <w:pPr>
        <w:snapToGrid w:val="0"/>
        <w:spacing w:line="360" w:lineRule="auto"/>
        <w:ind w:firstLineChars="200" w:firstLine="420"/>
        <w:rPr>
          <w:rFonts w:ascii="宋体" w:hAnsi="宋体"/>
          <w:bCs/>
          <w:szCs w:val="21"/>
        </w:rPr>
      </w:pPr>
    </w:p>
    <w:p w14:paraId="7F71FAD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五、基金资产净值计算和会计核算</w:t>
      </w:r>
    </w:p>
    <w:p w14:paraId="52B20F0F" w14:textId="77777777" w:rsidR="00706097" w:rsidRDefault="00DA6858">
      <w:pPr>
        <w:snapToGrid w:val="0"/>
        <w:spacing w:line="360" w:lineRule="auto"/>
        <w:ind w:firstLineChars="200" w:firstLine="422"/>
        <w:rPr>
          <w:rFonts w:ascii="宋体" w:hAnsi="宋体"/>
          <w:b/>
          <w:bCs/>
          <w:szCs w:val="21"/>
        </w:rPr>
      </w:pPr>
      <w:bookmarkStart w:id="343" w:name="_Toc77663017"/>
      <w:r>
        <w:rPr>
          <w:rFonts w:ascii="宋体" w:hAnsi="宋体" w:hint="eastAsia"/>
          <w:b/>
          <w:bCs/>
          <w:szCs w:val="21"/>
        </w:rPr>
        <w:t>（一）基金资产净值及基金份额净值的计算与复核</w:t>
      </w:r>
      <w:bookmarkEnd w:id="343"/>
    </w:p>
    <w:p w14:paraId="13F8886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基金资产净值是指基金资产总值减去负债后的价值。各类基金份额的基金份额净值是按照每个工作日闭市后，该类基金份额的资产净值除以当日该类基金份额的基金份额余额数量计算，精确到</w:t>
      </w:r>
      <w:r>
        <w:rPr>
          <w:rFonts w:ascii="宋体" w:hAnsi="宋体"/>
          <w:bCs/>
          <w:szCs w:val="21"/>
        </w:rPr>
        <w:t>0.0001</w:t>
      </w:r>
      <w:r>
        <w:rPr>
          <w:rFonts w:ascii="宋体" w:hAnsi="宋体" w:hint="eastAsia"/>
          <w:bCs/>
          <w:szCs w:val="21"/>
        </w:rPr>
        <w:t>元，小数点后第</w:t>
      </w:r>
      <w:r>
        <w:rPr>
          <w:rFonts w:ascii="宋体" w:hAnsi="宋体"/>
          <w:bCs/>
          <w:szCs w:val="21"/>
        </w:rPr>
        <w:t>5</w:t>
      </w:r>
      <w:r>
        <w:rPr>
          <w:rFonts w:ascii="宋体" w:hAnsi="宋体" w:hint="eastAsia"/>
          <w:bCs/>
          <w:szCs w:val="21"/>
        </w:rPr>
        <w:t>位四舍五入。基金管理人可以设立大额赎回情形下的净值精度应急调整机制。国家另有规定的，从其规定。</w:t>
      </w:r>
    </w:p>
    <w:p w14:paraId="40954B4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基金管理人应每工作日对基金资产估值，</w:t>
      </w:r>
      <w:r>
        <w:rPr>
          <w:rFonts w:ascii="宋体" w:hAnsi="宋体"/>
          <w:bCs/>
          <w:szCs w:val="21"/>
        </w:rPr>
        <w:t>但基金管理人根据法律法规或基金合同的规定暂停估值时除外</w:t>
      </w:r>
      <w:r>
        <w:rPr>
          <w:rFonts w:ascii="宋体" w:hAnsi="宋体" w:hint="eastAsia"/>
          <w:bCs/>
          <w:szCs w:val="21"/>
        </w:rPr>
        <w:t>。估值原则应符合《基金合同》、《中国证监会关于证券投资基金估值业务的指导意见》及其他法律、法规的规定。用于基金信息披露的基金资产净值和各类基金份额净值由基金管理人负责计算，基金托管人复核。基金管理人应于每个工作日交易结束后计算当日的基金资产净值、</w:t>
      </w:r>
      <w:r>
        <w:rPr>
          <w:rFonts w:ascii="宋体" w:hAnsi="宋体"/>
          <w:bCs/>
          <w:szCs w:val="21"/>
        </w:rPr>
        <w:t>各类基金份额的基金份额净值</w:t>
      </w:r>
      <w:r>
        <w:rPr>
          <w:rFonts w:ascii="宋体" w:hAnsi="宋体" w:hint="eastAsia"/>
          <w:bCs/>
          <w:szCs w:val="21"/>
        </w:rPr>
        <w:t>，以约定方式发送给基金托管人。基金托管人对净值计算结果复核后，将复核结果反馈给基金管理人，由基金管理人对基金份额净值按约定予以公布。</w:t>
      </w:r>
    </w:p>
    <w:p w14:paraId="3A75D2A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本基金按以下方法估值：</w:t>
      </w:r>
      <w:r>
        <w:rPr>
          <w:rFonts w:ascii="宋体" w:hAnsi="宋体"/>
          <w:bCs/>
          <w:szCs w:val="21"/>
        </w:rPr>
        <w:t xml:space="preserve"> </w:t>
      </w:r>
    </w:p>
    <w:p w14:paraId="551F7E8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本节所称的固定收益品种，是指国债、地方政府债、央行票据、金融债、企 业债、公司债、中期票据、短期融资</w:t>
      </w:r>
      <w:proofErr w:type="gramStart"/>
      <w:r>
        <w:rPr>
          <w:rFonts w:ascii="宋体" w:hAnsi="宋体"/>
          <w:bCs/>
          <w:szCs w:val="21"/>
        </w:rPr>
        <w:t>券</w:t>
      </w:r>
      <w:proofErr w:type="gramEnd"/>
      <w:r>
        <w:rPr>
          <w:rFonts w:ascii="宋体" w:hAnsi="宋体"/>
          <w:bCs/>
          <w:szCs w:val="21"/>
        </w:rPr>
        <w:t>、超短期融资</w:t>
      </w:r>
      <w:proofErr w:type="gramStart"/>
      <w:r>
        <w:rPr>
          <w:rFonts w:ascii="宋体" w:hAnsi="宋体"/>
          <w:bCs/>
          <w:szCs w:val="21"/>
        </w:rPr>
        <w:t>券</w:t>
      </w:r>
      <w:proofErr w:type="gramEnd"/>
      <w:r>
        <w:rPr>
          <w:rFonts w:ascii="宋体" w:hAnsi="宋体"/>
          <w:bCs/>
          <w:szCs w:val="21"/>
        </w:rPr>
        <w:t>、公开发行的次级债、可 分离交易可转债</w:t>
      </w:r>
      <w:proofErr w:type="gramStart"/>
      <w:r>
        <w:rPr>
          <w:rFonts w:ascii="宋体" w:hAnsi="宋体"/>
          <w:bCs/>
          <w:szCs w:val="21"/>
        </w:rPr>
        <w:t>的纯债部分</w:t>
      </w:r>
      <w:proofErr w:type="gramEnd"/>
      <w:r>
        <w:rPr>
          <w:rFonts w:ascii="宋体" w:hAnsi="宋体"/>
          <w:bCs/>
          <w:szCs w:val="21"/>
        </w:rPr>
        <w:t xml:space="preserve">、资产支持证券、债券回购、银行存款、同业存单等。 </w:t>
      </w:r>
    </w:p>
    <w:p w14:paraId="3444DDED"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1、证券交易所上市的有价证券的估值</w:t>
      </w:r>
    </w:p>
    <w:p w14:paraId="5102966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（1）交易所上市的有价证券，以其估值日在证券交易所挂牌的市价（收盘价）估值；估值日无交易的，且最近交易日后经济环境未发生重大变化</w:t>
      </w:r>
      <w:r>
        <w:rPr>
          <w:rFonts w:ascii="宋体" w:hAnsi="宋体" w:hint="eastAsia"/>
          <w:bCs/>
          <w:szCs w:val="21"/>
        </w:rPr>
        <w:t>或</w:t>
      </w:r>
      <w:r>
        <w:rPr>
          <w:rFonts w:ascii="宋体" w:hAnsi="宋体"/>
          <w:bCs/>
          <w:szCs w:val="21"/>
        </w:rPr>
        <w:t>证券发行机构未发生影响证券价格的重大事件的，以最近交易日的市价（收盘价）估值；如最近交易日后经济环境发生了重大变化</w:t>
      </w:r>
      <w:r>
        <w:rPr>
          <w:rFonts w:ascii="宋体" w:hAnsi="宋体" w:hint="eastAsia"/>
          <w:bCs/>
          <w:szCs w:val="21"/>
        </w:rPr>
        <w:t>或</w:t>
      </w:r>
      <w:r>
        <w:rPr>
          <w:rFonts w:ascii="宋体" w:hAnsi="宋体"/>
          <w:bCs/>
          <w:szCs w:val="21"/>
        </w:rPr>
        <w:t>证券发行机构发生影响证券价格的重大事件的，可参考类似投资品种的现行市价及重大变化因素，调整最近交易市价，确定公允价格</w:t>
      </w:r>
      <w:r>
        <w:rPr>
          <w:rFonts w:ascii="宋体" w:hAnsi="宋体" w:hint="eastAsia"/>
          <w:bCs/>
          <w:szCs w:val="21"/>
        </w:rPr>
        <w:t>；</w:t>
      </w:r>
    </w:p>
    <w:p w14:paraId="6B4FD370"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lastRenderedPageBreak/>
        <w:t>（2）交易所上市交易或挂牌转让的不含</w:t>
      </w:r>
      <w:proofErr w:type="gramStart"/>
      <w:r>
        <w:rPr>
          <w:rFonts w:ascii="宋体" w:hAnsi="宋体"/>
          <w:bCs/>
          <w:szCs w:val="21"/>
        </w:rPr>
        <w:t>权固定</w:t>
      </w:r>
      <w:proofErr w:type="gramEnd"/>
      <w:r>
        <w:rPr>
          <w:rFonts w:ascii="宋体" w:hAnsi="宋体"/>
          <w:bCs/>
          <w:szCs w:val="21"/>
        </w:rPr>
        <w:t>收益品种，选取估值日第三方估值机构提供的相应品种当日的估值净价进行估值；</w:t>
      </w:r>
    </w:p>
    <w:p w14:paraId="706F657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（3）交易所上市交易或挂牌转让的含</w:t>
      </w:r>
      <w:proofErr w:type="gramStart"/>
      <w:r>
        <w:rPr>
          <w:rFonts w:ascii="宋体" w:hAnsi="宋体"/>
          <w:bCs/>
          <w:szCs w:val="21"/>
        </w:rPr>
        <w:t>权固定</w:t>
      </w:r>
      <w:proofErr w:type="gramEnd"/>
      <w:r>
        <w:rPr>
          <w:rFonts w:ascii="宋体" w:hAnsi="宋体"/>
          <w:bCs/>
          <w:szCs w:val="21"/>
        </w:rPr>
        <w:t>收益品种，选取估值日第三方估值机构提供的相应品种当日的唯一估值净价或推荐估值净价进行估值；</w:t>
      </w:r>
    </w:p>
    <w:p w14:paraId="7C94C17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（4）交易所上市交易的可转换债券</w:t>
      </w:r>
      <w:r>
        <w:rPr>
          <w:rFonts w:ascii="宋体" w:hAnsi="宋体" w:hint="eastAsia"/>
          <w:bCs/>
          <w:szCs w:val="21"/>
        </w:rPr>
        <w:t>以每日收盘价作为估值全价；</w:t>
      </w:r>
    </w:p>
    <w:p w14:paraId="71CF3C2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w:t>
      </w:r>
      <w:r>
        <w:rPr>
          <w:rFonts w:ascii="宋体" w:hAnsi="宋体" w:hint="eastAsia"/>
          <w:bCs/>
          <w:szCs w:val="21"/>
        </w:rPr>
        <w:t>5</w:t>
      </w:r>
      <w:r>
        <w:rPr>
          <w:rFonts w:ascii="宋体" w:hAnsi="宋体"/>
          <w:bCs/>
          <w:szCs w:val="21"/>
        </w:rPr>
        <w:t>）交易所上市不存在活跃市场的有价证券，采用估值技术确定公允价值。</w:t>
      </w:r>
      <w:r>
        <w:rPr>
          <w:rFonts w:ascii="宋体" w:hAnsi="宋体" w:hint="eastAsia"/>
          <w:bCs/>
          <w:szCs w:val="21"/>
        </w:rPr>
        <w:t>交易所市场挂牌转让</w:t>
      </w:r>
      <w:r>
        <w:rPr>
          <w:rFonts w:ascii="宋体" w:hAnsi="宋体"/>
          <w:bCs/>
          <w:szCs w:val="21"/>
        </w:rPr>
        <w:t>的资产支持证券，采用估值技术确定公允价值</w:t>
      </w:r>
      <w:r>
        <w:rPr>
          <w:rFonts w:ascii="宋体" w:hAnsi="宋体" w:hint="eastAsia"/>
          <w:bCs/>
          <w:szCs w:val="21"/>
        </w:rPr>
        <w:t>；</w:t>
      </w:r>
    </w:p>
    <w:p w14:paraId="3643DED1"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w:t>
      </w:r>
      <w:r>
        <w:rPr>
          <w:rFonts w:ascii="宋体" w:hAnsi="宋体" w:hint="eastAsia"/>
          <w:bCs/>
          <w:szCs w:val="21"/>
        </w:rPr>
        <w:t>市场活动</w:t>
      </w:r>
      <w:r>
        <w:rPr>
          <w:rFonts w:ascii="宋体" w:hAnsi="宋体"/>
          <w:bCs/>
          <w:szCs w:val="21"/>
        </w:rPr>
        <w:t>或市场活动很少的情况下，应采用估值技术确定其公允价值。</w:t>
      </w:r>
    </w:p>
    <w:p w14:paraId="64C7BD6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2、首次公开发行未上市的债券，采用估值技术确定公允价值，在估值技术难以可靠计量公允价值的情况下，按成本估值。</w:t>
      </w:r>
    </w:p>
    <w:p w14:paraId="5DB9410D"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w:t>
      </w:r>
      <w:r>
        <w:rPr>
          <w:rFonts w:ascii="宋体" w:hAnsi="宋体" w:hint="eastAsia"/>
          <w:bCs/>
          <w:szCs w:val="21"/>
        </w:rPr>
        <w:t>期</w:t>
      </w:r>
      <w:r>
        <w:rPr>
          <w:rFonts w:ascii="宋体" w:hAnsi="宋体"/>
          <w:bCs/>
          <w:szCs w:val="21"/>
        </w:rPr>
        <w:t>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2701718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4、同一债券同时在两个或两个以上市场交易的，按债券所处的市场分别估值。 </w:t>
      </w:r>
    </w:p>
    <w:p w14:paraId="7D6C3D46"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5、持有的银行定期存款或通知存款以本金列示，按相应利率逐日计提利息。 </w:t>
      </w:r>
    </w:p>
    <w:p w14:paraId="3C77975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6</w:t>
      </w:r>
      <w:r>
        <w:rPr>
          <w:rFonts w:ascii="宋体" w:hAnsi="宋体"/>
          <w:bCs/>
          <w:szCs w:val="21"/>
        </w:rPr>
        <w:t xml:space="preserve">、如有确凿证据表明按上述方法进行估值不能客观反映其公允价值的，基 金管理人可根据具体情况与基金托管人商定后，按最能反映公允价值的价格估 值。 </w:t>
      </w:r>
    </w:p>
    <w:p w14:paraId="52F600F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7</w:t>
      </w:r>
      <w:r>
        <w:rPr>
          <w:rFonts w:ascii="宋体" w:hAnsi="宋体"/>
          <w:bCs/>
          <w:szCs w:val="21"/>
        </w:rPr>
        <w:t xml:space="preserve">、当发生大额申购或赎回情形时，基金管理人可以采用摆动定价机制，以确保基金估值的公平性。 </w:t>
      </w:r>
    </w:p>
    <w:p w14:paraId="42907A3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8</w:t>
      </w:r>
      <w:r>
        <w:rPr>
          <w:rFonts w:ascii="宋体" w:hAnsi="宋体"/>
          <w:bCs/>
          <w:szCs w:val="21"/>
        </w:rPr>
        <w:t xml:space="preserve">、相关法律法规以及监管部门有强制规定的，从其规定。如有新增事项， 按国家最新规定估值。 </w:t>
      </w:r>
    </w:p>
    <w:p w14:paraId="3BAE8D4B"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 xml:space="preserve">如基金管理人或基金托管人发现基金估值违反基金合同订明的估值方法、程 序及相关法律法规的规定或者未能充分维护基金份额持有人利益时，应立即通知 对方，共同查明原因，双方协商解决。 </w:t>
      </w:r>
    </w:p>
    <w:p w14:paraId="326F37E2"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根据有关法律法规，基金资产净值计算和基金会计核算的义务由基金管理人 承担。本基金的基金会计责任方由基金管理人担任，因此，就与本基金有关的会 计问题，如经相关各方在平等基础上充分讨论后，仍无法达成一致的意见，按照 基金管理人对基金资产净值的计算结果对外予以公布。</w:t>
      </w:r>
    </w:p>
    <w:p w14:paraId="6FBFB76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（二）估值错误的处理</w:t>
      </w:r>
    </w:p>
    <w:p w14:paraId="28ED117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基金管理人和基金托管人将采取必要、适当、合理的措施确保基金资产估值的准确性、及时性。当基金份额净值小数点后</w:t>
      </w:r>
      <w:r>
        <w:rPr>
          <w:rFonts w:ascii="宋体" w:hAnsi="宋体"/>
          <w:bCs/>
          <w:szCs w:val="21"/>
        </w:rPr>
        <w:t>4</w:t>
      </w:r>
      <w:r>
        <w:rPr>
          <w:rFonts w:ascii="宋体" w:hAnsi="宋体" w:hint="eastAsia"/>
          <w:bCs/>
          <w:szCs w:val="21"/>
        </w:rPr>
        <w:t>位以内</w:t>
      </w:r>
      <w:r>
        <w:rPr>
          <w:rFonts w:ascii="宋体" w:hAnsi="宋体"/>
          <w:bCs/>
          <w:szCs w:val="21"/>
        </w:rPr>
        <w:t>（含</w:t>
      </w:r>
      <w:r>
        <w:rPr>
          <w:rFonts w:ascii="宋体" w:hAnsi="宋体" w:hint="eastAsia"/>
          <w:bCs/>
          <w:szCs w:val="21"/>
        </w:rPr>
        <w:t>第</w:t>
      </w:r>
      <w:r>
        <w:rPr>
          <w:rFonts w:ascii="宋体" w:hAnsi="宋体"/>
          <w:bCs/>
          <w:szCs w:val="21"/>
        </w:rPr>
        <w:t>4</w:t>
      </w:r>
      <w:r>
        <w:rPr>
          <w:rFonts w:ascii="宋体" w:hAnsi="宋体" w:hint="eastAsia"/>
          <w:bCs/>
          <w:szCs w:val="21"/>
        </w:rPr>
        <w:t>位</w:t>
      </w:r>
      <w:r>
        <w:rPr>
          <w:rFonts w:ascii="宋体" w:hAnsi="宋体"/>
          <w:bCs/>
          <w:szCs w:val="21"/>
        </w:rPr>
        <w:t>）发生</w:t>
      </w:r>
      <w:r>
        <w:rPr>
          <w:rFonts w:ascii="宋体" w:hAnsi="宋体" w:hint="eastAsia"/>
          <w:bCs/>
          <w:szCs w:val="21"/>
        </w:rPr>
        <w:t>估值错误</w:t>
      </w:r>
      <w:r>
        <w:rPr>
          <w:rFonts w:ascii="宋体" w:hAnsi="宋体"/>
          <w:bCs/>
          <w:szCs w:val="21"/>
        </w:rPr>
        <w:t>时，视为</w:t>
      </w:r>
      <w:r>
        <w:rPr>
          <w:rFonts w:ascii="宋体" w:hAnsi="宋体" w:hint="eastAsia"/>
          <w:bCs/>
          <w:szCs w:val="21"/>
        </w:rPr>
        <w:t>基金份额净值</w:t>
      </w:r>
      <w:r>
        <w:rPr>
          <w:rFonts w:ascii="宋体" w:hAnsi="宋体"/>
          <w:bCs/>
          <w:szCs w:val="21"/>
        </w:rPr>
        <w:t>错误。</w:t>
      </w:r>
    </w:p>
    <w:p w14:paraId="29C3CAB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基金合同的当事人应按照以下约定处理：</w:t>
      </w:r>
    </w:p>
    <w:p w14:paraId="57438E37"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1、估值错误类型</w:t>
      </w:r>
    </w:p>
    <w:p w14:paraId="55B3AA5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宋体" w:hAnsi="宋体"/>
          <w:bCs/>
          <w:szCs w:val="21"/>
        </w:rPr>
        <w:t>（“受损方”）的直接损失按下述“估值错误处理原则”给予赔偿，承担赔偿责任。</w:t>
      </w:r>
    </w:p>
    <w:p w14:paraId="689BE8E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上述估值错误的主要类型包括但不限于：资料申报差错、数据传输差错、数据计算差错、系统故障差错、下达指令差错等。</w:t>
      </w:r>
    </w:p>
    <w:p w14:paraId="404309C9"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2、估值错误处理原则</w:t>
      </w:r>
    </w:p>
    <w:p w14:paraId="66DB475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54E022C"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2）估值错误的责任方对有关当事人的直接损失负责，不对间接损失负责，并且仅对估值错误的有关直接当事人负责，不对第三方负责。</w:t>
      </w:r>
    </w:p>
    <w:p w14:paraId="1CB612B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3）因估值错误而获得不当得利的当事人负有及时返还不当得利的义务。但估值错误责任方仍应对估值错误负责。如果由于获得不当得利的当事人</w:t>
      </w:r>
      <w:proofErr w:type="gramStart"/>
      <w:r>
        <w:rPr>
          <w:rFonts w:ascii="宋体" w:hAnsi="宋体"/>
          <w:bCs/>
          <w:szCs w:val="21"/>
        </w:rPr>
        <w:t>不</w:t>
      </w:r>
      <w:proofErr w:type="gramEnd"/>
      <w:r>
        <w:rPr>
          <w:rFonts w:ascii="宋体" w:hAnsi="宋体"/>
          <w:bCs/>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FF91AA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4）估值错误调整采用尽量恢复至假设未发生估值错误的正确情形的方式。</w:t>
      </w:r>
    </w:p>
    <w:p w14:paraId="62802B2B"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3、估值错误处理程序</w:t>
      </w:r>
    </w:p>
    <w:p w14:paraId="6A04FAC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估值错误被发现后，有关的当事人应当及时进行处理，处理的程序如下：</w:t>
      </w:r>
    </w:p>
    <w:p w14:paraId="5C16265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1）查明估值错误发生的原因，列明所有的当事人，并根据估值错误发生的原因确定估值错误的责任方；</w:t>
      </w:r>
    </w:p>
    <w:p w14:paraId="58C9EDB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2）根据估值错误处理原则或当事人协商的方法对因估值错误造成的损失进行评估；</w:t>
      </w:r>
    </w:p>
    <w:p w14:paraId="55B04C1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w:t>
      </w:r>
      <w:r>
        <w:rPr>
          <w:rFonts w:ascii="宋体" w:hAnsi="宋体"/>
          <w:bCs/>
          <w:szCs w:val="21"/>
        </w:rPr>
        <w:t>3）根据估值错误处理原则或当事人协商的方法由估值错误的责任方进行更正和赔偿损失；</w:t>
      </w:r>
    </w:p>
    <w:p w14:paraId="6764997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4）根据估值错误处理的方法，需要修改基金登记机构交易数据的，由基金登记机构进行更正，并就估值错误的更正向有关当事人进行确认。</w:t>
      </w:r>
    </w:p>
    <w:p w14:paraId="1960A5DB" w14:textId="77777777" w:rsidR="00706097" w:rsidRDefault="00DA6858">
      <w:pPr>
        <w:snapToGrid w:val="0"/>
        <w:spacing w:line="360" w:lineRule="auto"/>
        <w:ind w:firstLineChars="200" w:firstLine="420"/>
        <w:rPr>
          <w:rFonts w:ascii="宋体" w:hAnsi="宋体"/>
          <w:bCs/>
          <w:szCs w:val="21"/>
        </w:rPr>
      </w:pPr>
      <w:r>
        <w:rPr>
          <w:rFonts w:ascii="宋体" w:hAnsi="宋体"/>
          <w:bCs/>
          <w:szCs w:val="21"/>
        </w:rPr>
        <w:t>4、基金份额净值估值错误处理的方法如下：</w:t>
      </w:r>
    </w:p>
    <w:p w14:paraId="2BC76F7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1）基金份额净值计算出现错误时，基金管理人应当立即予以纠正，通报基金托管人，并采取合理的措施防止损失进一步扩大。</w:t>
      </w:r>
    </w:p>
    <w:p w14:paraId="1D0B145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2）错误偏差达到基金份额净值的0.25%时，基金管理人应当通报基金托管人</w:t>
      </w:r>
      <w:r>
        <w:rPr>
          <w:rFonts w:ascii="宋体" w:hAnsi="宋体" w:hint="eastAsia"/>
          <w:bCs/>
          <w:szCs w:val="21"/>
        </w:rPr>
        <w:t>并报中国证监会备案</w:t>
      </w:r>
      <w:r>
        <w:rPr>
          <w:rFonts w:ascii="宋体" w:hAnsi="宋体"/>
          <w:bCs/>
          <w:szCs w:val="21"/>
        </w:rPr>
        <w:t>；错误偏差达到基金份额净值的0.5%时，基金管理人应当公告并报中国证监会备案。</w:t>
      </w:r>
    </w:p>
    <w:p w14:paraId="4D17789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w:t>
      </w:r>
      <w:r>
        <w:rPr>
          <w:rFonts w:ascii="宋体" w:hAnsi="宋体" w:hint="eastAsia"/>
          <w:bCs/>
          <w:szCs w:val="21"/>
        </w:rPr>
        <w:t>）前述内容如法律法规或监管机关另有规定的，从其规定处理。如果行业另有通行做法，基金管理人和基金托管人应本着平等和保护基金份额持有人利益的原则进行协商。</w:t>
      </w:r>
    </w:p>
    <w:p w14:paraId="1878FFEF"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（三）基金会计制度</w:t>
      </w:r>
    </w:p>
    <w:p w14:paraId="74FF4292"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按国家有关部门制定的会计制度执行。</w:t>
      </w:r>
    </w:p>
    <w:p w14:paraId="7FA9D791"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（四）基金账册的建立</w:t>
      </w:r>
    </w:p>
    <w:p w14:paraId="31BFD1A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26DBF1BB"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（五）会计数据和财务指标的核对</w:t>
      </w:r>
    </w:p>
    <w:p w14:paraId="5ED54D8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双方</w:t>
      </w:r>
      <w:proofErr w:type="gramStart"/>
      <w:r>
        <w:rPr>
          <w:rFonts w:ascii="宋体" w:hAnsi="宋体" w:hint="eastAsia"/>
          <w:bCs/>
          <w:szCs w:val="21"/>
        </w:rPr>
        <w:t>应每个</w:t>
      </w:r>
      <w:proofErr w:type="gramEnd"/>
      <w:r>
        <w:rPr>
          <w:rFonts w:ascii="宋体" w:hAnsi="宋体" w:hint="eastAsia"/>
          <w:bCs/>
          <w:szCs w:val="21"/>
        </w:rPr>
        <w:t>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380C0F88" w14:textId="77777777" w:rsidR="00706097" w:rsidRDefault="00DA6858">
      <w:pPr>
        <w:snapToGrid w:val="0"/>
        <w:spacing w:line="360" w:lineRule="auto"/>
        <w:ind w:firstLineChars="200" w:firstLine="422"/>
        <w:rPr>
          <w:rFonts w:ascii="宋体" w:hAnsi="宋体"/>
          <w:b/>
          <w:bCs/>
          <w:szCs w:val="21"/>
        </w:rPr>
      </w:pPr>
      <w:r>
        <w:rPr>
          <w:rFonts w:ascii="宋体" w:hAnsi="宋体" w:hint="eastAsia"/>
          <w:b/>
          <w:bCs/>
          <w:szCs w:val="21"/>
        </w:rPr>
        <w:t>（六）基金定期报告的编制和复核</w:t>
      </w:r>
    </w:p>
    <w:p w14:paraId="41BCA5E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基金财务报表由基金管理人和基金托管人每</w:t>
      </w:r>
      <w:proofErr w:type="gramStart"/>
      <w:r>
        <w:rPr>
          <w:rFonts w:ascii="宋体" w:hAnsi="宋体" w:hint="eastAsia"/>
          <w:bCs/>
          <w:szCs w:val="21"/>
        </w:rPr>
        <w:t>月分别独立</w:t>
      </w:r>
      <w:proofErr w:type="gramEnd"/>
      <w:r>
        <w:rPr>
          <w:rFonts w:ascii="宋体" w:hAnsi="宋体" w:hint="eastAsia"/>
          <w:bCs/>
          <w:szCs w:val="21"/>
        </w:rPr>
        <w:t>编制。月度报表的编制，应于每月终了后</w:t>
      </w:r>
      <w:r>
        <w:rPr>
          <w:rFonts w:ascii="宋体" w:hAnsi="宋体"/>
          <w:bCs/>
          <w:szCs w:val="21"/>
        </w:rPr>
        <w:t>5</w:t>
      </w:r>
      <w:r>
        <w:rPr>
          <w:rFonts w:ascii="宋体" w:hAnsi="宋体" w:hint="eastAsia"/>
          <w:bCs/>
          <w:szCs w:val="21"/>
        </w:rPr>
        <w:t>个工作日内完成。定期报告文件应按中国证监会的要求公告。季度报表的编制，应于季度终了后</w:t>
      </w:r>
      <w:r>
        <w:rPr>
          <w:rFonts w:ascii="宋体" w:hAnsi="宋体"/>
          <w:bCs/>
          <w:szCs w:val="21"/>
        </w:rPr>
        <w:t>15</w:t>
      </w:r>
      <w:r>
        <w:rPr>
          <w:rFonts w:ascii="宋体" w:hAnsi="宋体" w:hint="eastAsia"/>
          <w:bCs/>
          <w:szCs w:val="21"/>
        </w:rPr>
        <w:t>个工作日内完成；基金招募说明书的信息发生重大变更的，基金管理人应当在三个工作日内，更新基金招募说明书并登载在指定网站上；基金招募说明书其他信息发生变更的，基金管理人至少每年更新一次。中期报告在基金会计年度前</w:t>
      </w:r>
      <w:r>
        <w:rPr>
          <w:rFonts w:ascii="宋体" w:hAnsi="宋体"/>
          <w:bCs/>
          <w:szCs w:val="21"/>
        </w:rPr>
        <w:t>6</w:t>
      </w:r>
      <w:r>
        <w:rPr>
          <w:rFonts w:ascii="宋体" w:hAnsi="宋体" w:hint="eastAsia"/>
          <w:bCs/>
          <w:szCs w:val="21"/>
        </w:rPr>
        <w:t>个月结束后的两个月内公告；年度报告在会计年度结束后三个月内公告。</w:t>
      </w:r>
    </w:p>
    <w:p w14:paraId="7D3666E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基金管理人在月初3</w:t>
      </w:r>
      <w:proofErr w:type="gramStart"/>
      <w:r>
        <w:rPr>
          <w:rFonts w:ascii="宋体" w:hAnsi="宋体" w:hint="eastAsia"/>
          <w:bCs/>
          <w:szCs w:val="21"/>
        </w:rPr>
        <w:t>个</w:t>
      </w:r>
      <w:proofErr w:type="gramEnd"/>
      <w:r>
        <w:rPr>
          <w:rFonts w:ascii="宋体" w:hAnsi="宋体" w:hint="eastAsia"/>
          <w:bCs/>
          <w:szCs w:val="21"/>
        </w:rPr>
        <w:t>工作日内完成上月度报表的编制，经盖章后，以约定方式将有关报表提供基金托管人；基金托管人收到后在</w:t>
      </w:r>
      <w:r>
        <w:rPr>
          <w:rFonts w:ascii="宋体" w:hAnsi="宋体"/>
          <w:bCs/>
          <w:szCs w:val="21"/>
        </w:rPr>
        <w:t>2</w:t>
      </w:r>
      <w:r>
        <w:rPr>
          <w:rFonts w:ascii="宋体" w:hAnsi="宋体" w:hint="eastAsia"/>
          <w:bCs/>
          <w:szCs w:val="21"/>
        </w:rPr>
        <w:t>个工作日内进行复核，并将复核结果及时书面</w:t>
      </w:r>
      <w:r>
        <w:rPr>
          <w:rFonts w:ascii="宋体" w:hAnsi="宋体"/>
          <w:bCs/>
          <w:szCs w:val="21"/>
        </w:rPr>
        <w:t>或以其他双方约定的方式</w:t>
      </w:r>
      <w:r>
        <w:rPr>
          <w:rFonts w:ascii="宋体" w:hAnsi="宋体" w:hint="eastAsia"/>
          <w:bCs/>
          <w:szCs w:val="21"/>
        </w:rPr>
        <w:t>通知基金管理人。对于季度报告、中期报告、年度报告等定期报告，基金管理人和基金托管人应在上述监管部门规定的时间内完成编制、复核及公告。基金托管</w:t>
      </w:r>
      <w:r>
        <w:rPr>
          <w:rFonts w:ascii="宋体" w:hAnsi="宋体" w:hint="eastAsia"/>
          <w:bCs/>
          <w:szCs w:val="21"/>
        </w:rPr>
        <w:lastRenderedPageBreak/>
        <w:t>人在复核过程中，发现双方的报表存在不符时，基金管理人和基金托管人应共同查明原因，进行调整，调整以双方认可的账务处理方式为准。如果基金管理人与基金托管人不能</w:t>
      </w:r>
      <w:proofErr w:type="gramStart"/>
      <w:r>
        <w:rPr>
          <w:rFonts w:ascii="宋体" w:hAnsi="宋体" w:hint="eastAsia"/>
          <w:bCs/>
          <w:szCs w:val="21"/>
        </w:rPr>
        <w:t>于应当</w:t>
      </w:r>
      <w:proofErr w:type="gramEnd"/>
      <w:r>
        <w:rPr>
          <w:rFonts w:ascii="宋体" w:hAnsi="宋体" w:hint="eastAsia"/>
          <w:bCs/>
          <w:szCs w:val="21"/>
        </w:rPr>
        <w:t>发布公告之日前就相关报表达成一致，基金管理人有权按照其编制的报表对外发布公告，基金托管人有权就相关情况报证监会备案。</w:t>
      </w:r>
    </w:p>
    <w:p w14:paraId="2B16F57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基金托管人在对财务报表、季度报告、中期报告或年度报告复核完毕后，可以出具复核确认书（盖章）或以其他双方约定的方式确认，以</w:t>
      </w:r>
      <w:proofErr w:type="gramStart"/>
      <w:r>
        <w:rPr>
          <w:rFonts w:ascii="宋体" w:hAnsi="宋体" w:hint="eastAsia"/>
          <w:bCs/>
          <w:szCs w:val="21"/>
        </w:rPr>
        <w:t>备有权</w:t>
      </w:r>
      <w:proofErr w:type="gramEnd"/>
      <w:r>
        <w:rPr>
          <w:rFonts w:ascii="宋体" w:hAnsi="宋体" w:hint="eastAsia"/>
          <w:bCs/>
          <w:szCs w:val="21"/>
        </w:rPr>
        <w:t>机构对相关文件审核检查。</w:t>
      </w:r>
    </w:p>
    <w:p w14:paraId="2AD4147A" w14:textId="77777777" w:rsidR="00706097" w:rsidRDefault="00706097">
      <w:pPr>
        <w:snapToGrid w:val="0"/>
        <w:spacing w:line="360" w:lineRule="auto"/>
        <w:ind w:firstLineChars="200" w:firstLine="420"/>
        <w:rPr>
          <w:rFonts w:ascii="宋体" w:hAnsi="宋体"/>
          <w:bCs/>
          <w:szCs w:val="21"/>
        </w:rPr>
      </w:pPr>
    </w:p>
    <w:p w14:paraId="252246E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六、基金份额持有人名册的保管</w:t>
      </w:r>
    </w:p>
    <w:p w14:paraId="2F075A7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基金管理人可委托基金登记机构登记和保管基金份额持有人名册。基金份额持有人名册的内容包括但不限于基金份额持有人的名称和持有的基金份额。</w:t>
      </w:r>
    </w:p>
    <w:p w14:paraId="48278BA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30259DD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基金管理人应根据基金托管人的要求定期和不定期向基金托管人提供基金份额持有人名册。</w:t>
      </w:r>
    </w:p>
    <w:p w14:paraId="2E25644D" w14:textId="77777777" w:rsidR="00706097" w:rsidRDefault="00DA6858">
      <w:pPr>
        <w:snapToGrid w:val="0"/>
        <w:spacing w:line="360" w:lineRule="auto"/>
        <w:ind w:firstLineChars="200" w:firstLine="422"/>
        <w:rPr>
          <w:rFonts w:ascii="宋体" w:hAnsi="宋体"/>
          <w:bCs/>
          <w:szCs w:val="21"/>
        </w:rPr>
      </w:pPr>
      <w:r>
        <w:rPr>
          <w:rFonts w:ascii="宋体" w:hAnsi="宋体" w:hint="eastAsia"/>
          <w:b/>
          <w:bCs/>
          <w:szCs w:val="21"/>
        </w:rPr>
        <w:t>（一）</w:t>
      </w:r>
      <w:r>
        <w:rPr>
          <w:rFonts w:ascii="宋体" w:hAnsi="宋体" w:hint="eastAsia"/>
          <w:bCs/>
          <w:szCs w:val="21"/>
        </w:rPr>
        <w:t>基金管理人于《基金合同》生效日及《基金合同》终止日后</w:t>
      </w:r>
      <w:r>
        <w:rPr>
          <w:rFonts w:ascii="宋体" w:hAnsi="宋体"/>
          <w:bCs/>
          <w:szCs w:val="21"/>
        </w:rPr>
        <w:t>10</w:t>
      </w:r>
      <w:r>
        <w:rPr>
          <w:rFonts w:ascii="宋体" w:hAnsi="宋体" w:hint="eastAsia"/>
          <w:bCs/>
          <w:szCs w:val="21"/>
        </w:rPr>
        <w:t>个工作日内向基金托管人提供由登记机构编制的基金份额持有人名册；</w:t>
      </w:r>
    </w:p>
    <w:p w14:paraId="6B85A8F9" w14:textId="77777777" w:rsidR="00706097" w:rsidRDefault="00DA6858">
      <w:pPr>
        <w:snapToGrid w:val="0"/>
        <w:spacing w:line="360" w:lineRule="auto"/>
        <w:ind w:firstLineChars="200" w:firstLine="422"/>
        <w:rPr>
          <w:rFonts w:ascii="宋体" w:hAnsi="宋体"/>
          <w:bCs/>
          <w:szCs w:val="21"/>
        </w:rPr>
      </w:pPr>
      <w:r>
        <w:rPr>
          <w:rFonts w:ascii="宋体" w:hAnsi="宋体" w:hint="eastAsia"/>
          <w:b/>
          <w:bCs/>
          <w:szCs w:val="21"/>
        </w:rPr>
        <w:t>（二）</w:t>
      </w:r>
      <w:r>
        <w:rPr>
          <w:rFonts w:ascii="宋体" w:hAnsi="宋体" w:hint="eastAsia"/>
          <w:bCs/>
          <w:szCs w:val="21"/>
        </w:rPr>
        <w:t>基金管理人于基金份额持有人大会权益登记日后</w:t>
      </w:r>
      <w:r>
        <w:rPr>
          <w:rFonts w:ascii="宋体" w:hAnsi="宋体"/>
          <w:bCs/>
          <w:szCs w:val="21"/>
        </w:rPr>
        <w:t>5</w:t>
      </w:r>
      <w:r>
        <w:rPr>
          <w:rFonts w:ascii="宋体" w:hAnsi="宋体" w:hint="eastAsia"/>
          <w:bCs/>
          <w:szCs w:val="21"/>
        </w:rPr>
        <w:t>个工作日内向基金托管人提供由登记机构编制的基金份额持有人名册；</w:t>
      </w:r>
    </w:p>
    <w:p w14:paraId="01B051D8" w14:textId="77777777" w:rsidR="00706097" w:rsidRDefault="00DA6858">
      <w:pPr>
        <w:snapToGrid w:val="0"/>
        <w:spacing w:line="360" w:lineRule="auto"/>
        <w:ind w:firstLineChars="200" w:firstLine="422"/>
        <w:rPr>
          <w:rFonts w:ascii="宋体" w:hAnsi="宋体"/>
          <w:bCs/>
          <w:szCs w:val="21"/>
        </w:rPr>
      </w:pPr>
      <w:r>
        <w:rPr>
          <w:rFonts w:ascii="宋体" w:hAnsi="宋体" w:hint="eastAsia"/>
          <w:b/>
          <w:bCs/>
          <w:szCs w:val="21"/>
        </w:rPr>
        <w:t>（三）</w:t>
      </w:r>
      <w:r>
        <w:rPr>
          <w:rFonts w:ascii="宋体" w:hAnsi="宋体" w:hint="eastAsia"/>
          <w:bCs/>
          <w:szCs w:val="21"/>
        </w:rPr>
        <w:t>基金管理人于每年最后一个交易日后</w:t>
      </w:r>
      <w:r>
        <w:rPr>
          <w:rFonts w:ascii="宋体" w:hAnsi="宋体"/>
          <w:bCs/>
          <w:szCs w:val="21"/>
        </w:rPr>
        <w:t>10</w:t>
      </w:r>
      <w:r>
        <w:rPr>
          <w:rFonts w:ascii="宋体" w:hAnsi="宋体" w:hint="eastAsia"/>
          <w:bCs/>
          <w:szCs w:val="21"/>
        </w:rPr>
        <w:t>个工作日内向基金托管人提供由登记机构编制的基金份额持有人名册；</w:t>
      </w:r>
    </w:p>
    <w:p w14:paraId="644088D5" w14:textId="77777777" w:rsidR="00706097" w:rsidRDefault="00DA6858">
      <w:pPr>
        <w:snapToGrid w:val="0"/>
        <w:spacing w:line="360" w:lineRule="auto"/>
        <w:ind w:firstLineChars="200" w:firstLine="422"/>
        <w:rPr>
          <w:rFonts w:ascii="宋体" w:hAnsi="宋体"/>
          <w:bCs/>
          <w:szCs w:val="21"/>
        </w:rPr>
      </w:pPr>
      <w:r>
        <w:rPr>
          <w:rFonts w:ascii="宋体" w:hAnsi="宋体" w:hint="eastAsia"/>
          <w:b/>
          <w:bCs/>
          <w:szCs w:val="21"/>
        </w:rPr>
        <w:t>（四）</w:t>
      </w:r>
      <w:r>
        <w:rPr>
          <w:rFonts w:ascii="宋体" w:hAnsi="宋体" w:hint="eastAsia"/>
          <w:bCs/>
          <w:szCs w:val="21"/>
        </w:rPr>
        <w:t>除上述约定时间外，如果确因业务需要，基金托管人与基金管理人商议一致后，由基金管理人向基金托管人提供由登记机构编制的基金份额持有人名册。</w:t>
      </w:r>
    </w:p>
    <w:p w14:paraId="1ACE4A8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基金托管人以电子版形式妥善保管基金份额持有人名册，并定期刻成光盘备份，保存期限为</w:t>
      </w:r>
      <w:r>
        <w:rPr>
          <w:rFonts w:ascii="宋体" w:hAnsi="宋体"/>
          <w:bCs/>
          <w:szCs w:val="21"/>
        </w:rPr>
        <w:t>15</w:t>
      </w:r>
      <w:r>
        <w:rPr>
          <w:rFonts w:ascii="宋体" w:hAnsi="宋体" w:hint="eastAsia"/>
          <w:bCs/>
          <w:szCs w:val="21"/>
        </w:rPr>
        <w:t>年。基金托管人不得将所保管的基金份额持有人名册用于基金托管业务以外的其他用途，并应遵守保密义务。</w:t>
      </w:r>
      <w:proofErr w:type="gramStart"/>
      <w:r>
        <w:rPr>
          <w:rFonts w:ascii="宋体" w:hAnsi="宋体" w:hint="eastAsia"/>
          <w:bCs/>
          <w:szCs w:val="21"/>
        </w:rPr>
        <w:t>若基金</w:t>
      </w:r>
      <w:proofErr w:type="gramEnd"/>
      <w:r>
        <w:rPr>
          <w:rFonts w:ascii="宋体" w:hAnsi="宋体" w:hint="eastAsia"/>
          <w:bCs/>
          <w:szCs w:val="21"/>
        </w:rPr>
        <w:t>管理人或基金托管人由于自身原因无法妥善保管基金份额持有人名册，应按有关法规规定各自承担相应的责任。</w:t>
      </w:r>
    </w:p>
    <w:p w14:paraId="770D9373" w14:textId="77777777" w:rsidR="00706097" w:rsidRDefault="00706097">
      <w:pPr>
        <w:snapToGrid w:val="0"/>
        <w:spacing w:line="360" w:lineRule="auto"/>
        <w:ind w:firstLineChars="200" w:firstLine="420"/>
        <w:rPr>
          <w:rFonts w:ascii="宋体" w:hAnsi="宋体"/>
          <w:bCs/>
          <w:szCs w:val="21"/>
        </w:rPr>
      </w:pPr>
    </w:p>
    <w:p w14:paraId="5EDE996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七、争议解决方式</w:t>
      </w:r>
    </w:p>
    <w:p w14:paraId="1CAF597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相关各方当事人同意，因本协议而产生的或与本协议有关的一切争议，应通过友好协商或者调解解决。托管协议当事人不愿通过协商、调解解决或者协商、调解不成的，任何一方当事人均有权将争议提交上海国际经济贸易仲裁委员会，根据该会</w:t>
      </w:r>
      <w:r>
        <w:rPr>
          <w:rFonts w:ascii="宋体" w:hAnsi="宋体"/>
          <w:bCs/>
          <w:szCs w:val="21"/>
        </w:rPr>
        <w:t>届</w:t>
      </w:r>
      <w:r>
        <w:rPr>
          <w:rFonts w:ascii="宋体" w:hAnsi="宋体" w:hint="eastAsia"/>
          <w:bCs/>
          <w:szCs w:val="21"/>
        </w:rPr>
        <w:t>时有效的仲裁规则进行仲裁，仲裁的地点在上海市，仲裁裁决是终局的，并对相关各方当事人均有约束力。仲裁费</w:t>
      </w:r>
      <w:r>
        <w:rPr>
          <w:rFonts w:ascii="宋体" w:hAnsi="宋体" w:hint="eastAsia"/>
          <w:bCs/>
          <w:szCs w:val="21"/>
        </w:rPr>
        <w:lastRenderedPageBreak/>
        <w:t>用由败诉方承担。</w:t>
      </w:r>
    </w:p>
    <w:p w14:paraId="0E08C0D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争议处理期间，相关各方当事人应恪守基金管理人和基金托管人职责，继续忠实、勤勉、尽责地履行《基金合同》和本协议规定的义务，维护基金份额持有人的合法权益。</w:t>
      </w:r>
    </w:p>
    <w:p w14:paraId="00D9D27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本协议受中华人民共和国法律管辖。</w:t>
      </w:r>
    </w:p>
    <w:p w14:paraId="3F6AFB96" w14:textId="77777777" w:rsidR="00706097" w:rsidRDefault="00706097">
      <w:pPr>
        <w:snapToGrid w:val="0"/>
        <w:spacing w:line="360" w:lineRule="auto"/>
        <w:ind w:firstLineChars="200" w:firstLine="420"/>
        <w:rPr>
          <w:rFonts w:ascii="宋体" w:hAnsi="宋体"/>
          <w:bCs/>
          <w:szCs w:val="21"/>
        </w:rPr>
      </w:pPr>
    </w:p>
    <w:p w14:paraId="06428EB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八、托管协议的变更、终止与基金财产的清算</w:t>
      </w:r>
    </w:p>
    <w:p w14:paraId="426A1D5B" w14:textId="77777777" w:rsidR="00706097" w:rsidRDefault="00DA6858">
      <w:pPr>
        <w:snapToGrid w:val="0"/>
        <w:spacing w:line="360" w:lineRule="auto"/>
        <w:ind w:firstLineChars="200" w:firstLine="420"/>
        <w:rPr>
          <w:rFonts w:ascii="宋体" w:hAnsi="宋体"/>
          <w:bCs/>
          <w:szCs w:val="21"/>
        </w:rPr>
      </w:pPr>
      <w:bookmarkStart w:id="344" w:name="_Toc510842757"/>
      <w:r>
        <w:rPr>
          <w:rFonts w:ascii="宋体" w:hAnsi="宋体" w:hint="eastAsia"/>
          <w:bCs/>
          <w:szCs w:val="21"/>
        </w:rPr>
        <w:t>（一）基金托管协议的变更</w:t>
      </w:r>
    </w:p>
    <w:bookmarkEnd w:id="344"/>
    <w:p w14:paraId="7BF51734"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本协议双方当事人经协商一致，可以对协议进行修改。修改后的新协议，其内容不得与《基金合同》的规定有任何冲突。修改后的新协议，应报中国证监会备案。</w:t>
      </w:r>
    </w:p>
    <w:p w14:paraId="04881C5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（二）基金托管协议的终止</w:t>
      </w:r>
    </w:p>
    <w:p w14:paraId="74B4894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w:t>
      </w:r>
      <w:r>
        <w:rPr>
          <w:rFonts w:ascii="宋体" w:hAnsi="宋体" w:hint="eastAsia"/>
          <w:bCs/>
          <w:szCs w:val="21"/>
        </w:rPr>
        <w:t>《基金合同》终止；</w:t>
      </w:r>
    </w:p>
    <w:p w14:paraId="4D0347C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基金托管人解散、依法被撤销、破产，被依法取消基金托管资格或因其他事由造成其他基金托管人接管基金财产；</w:t>
      </w:r>
    </w:p>
    <w:p w14:paraId="11E6699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w:t>
      </w:r>
      <w:r>
        <w:rPr>
          <w:rFonts w:ascii="宋体" w:hAnsi="宋体"/>
          <w:bCs/>
          <w:szCs w:val="21"/>
        </w:rPr>
        <w:t>.</w:t>
      </w:r>
      <w:r>
        <w:rPr>
          <w:rFonts w:ascii="宋体" w:hAnsi="宋体" w:hint="eastAsia"/>
          <w:bCs/>
          <w:szCs w:val="21"/>
        </w:rPr>
        <w:t>基金管理人解散、依法被撤销、破产，被依法取消基金管理资格或因其他事由造成其他基金管理人接管基金管理权；</w:t>
      </w:r>
    </w:p>
    <w:p w14:paraId="4F6E028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w:t>
      </w:r>
      <w:r>
        <w:rPr>
          <w:rFonts w:ascii="宋体" w:hAnsi="宋体" w:hint="eastAsia"/>
          <w:bCs/>
          <w:szCs w:val="21"/>
        </w:rPr>
        <w:t>发生《基金法》、《销售办法》、《运作办法》或其他法律法规规定的终止事项。</w:t>
      </w:r>
    </w:p>
    <w:p w14:paraId="4A63B6C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（三）基金财产的清算</w:t>
      </w:r>
    </w:p>
    <w:p w14:paraId="6E66EF6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w:t>
      </w:r>
      <w:r>
        <w:rPr>
          <w:rFonts w:ascii="宋体" w:hAnsi="宋体" w:hint="eastAsia"/>
          <w:bCs/>
          <w:szCs w:val="21"/>
        </w:rPr>
        <w:t>基金财产清算小组</w:t>
      </w:r>
    </w:p>
    <w:p w14:paraId="7DFBA58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在基金财产清算小组接管基金财产之前，基金管理人和基金托管人应按照《基金合同》和本协议的规定继续履行保护基金资产安全的职责。</w:t>
      </w:r>
    </w:p>
    <w:p w14:paraId="3A09F4C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w:t>
      </w:r>
      <w:r>
        <w:rPr>
          <w:rFonts w:ascii="宋体" w:hAnsi="宋体"/>
          <w:bCs/>
          <w:szCs w:val="21"/>
        </w:rPr>
        <w:t>基金财产清算小组：自出现《基金合同》终止事由之日起30个工作日内成立清算小组，基金管理人组织基金财产清算小组并在中国证监会的监督下进行基金清算。</w:t>
      </w:r>
    </w:p>
    <w:p w14:paraId="2B011E5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64F5961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（3）基金财产清算小组职责：基金财产清算小组负责基金财产的保管、清理、估价、变现和分配。基金财产清算小组可以依法进行必要的民事活动。</w:t>
      </w:r>
    </w:p>
    <w:p w14:paraId="3C8CE4AD"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2</w:t>
      </w:r>
      <w:r>
        <w:rPr>
          <w:rFonts w:ascii="宋体" w:hAnsi="宋体"/>
          <w:bCs/>
          <w:szCs w:val="21"/>
        </w:rPr>
        <w:t>.</w:t>
      </w:r>
      <w:r>
        <w:rPr>
          <w:rFonts w:ascii="宋体" w:hAnsi="宋体" w:hint="eastAsia"/>
          <w:bCs/>
          <w:szCs w:val="21"/>
        </w:rPr>
        <w:t>基金财产清算程序</w:t>
      </w:r>
    </w:p>
    <w:p w14:paraId="042D8A4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（1）《基金合同》终止情形出现时，由基金财产清算小组统一接管基金财产；</w:t>
      </w:r>
      <w:r>
        <w:rPr>
          <w:rFonts w:ascii="宋体" w:hAnsi="宋体"/>
          <w:bCs/>
          <w:szCs w:val="21"/>
        </w:rPr>
        <w:t xml:space="preserve"> </w:t>
      </w:r>
    </w:p>
    <w:p w14:paraId="621E9FE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w:t>
      </w:r>
      <w:r>
        <w:rPr>
          <w:rFonts w:ascii="宋体" w:hAnsi="宋体" w:hint="eastAsia"/>
          <w:bCs/>
          <w:szCs w:val="21"/>
        </w:rPr>
        <w:t>）对基金财产和债权债务进行清理和确认；</w:t>
      </w:r>
    </w:p>
    <w:p w14:paraId="4BEA5B0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w:t>
      </w:r>
      <w:r>
        <w:rPr>
          <w:rFonts w:ascii="宋体" w:hAnsi="宋体" w:hint="eastAsia"/>
          <w:bCs/>
          <w:szCs w:val="21"/>
        </w:rPr>
        <w:t>）对基金财产进行估值和变现；</w:t>
      </w:r>
    </w:p>
    <w:p w14:paraId="78B224A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4</w:t>
      </w:r>
      <w:r>
        <w:rPr>
          <w:rFonts w:ascii="宋体" w:hAnsi="宋体" w:hint="eastAsia"/>
          <w:bCs/>
          <w:szCs w:val="21"/>
        </w:rPr>
        <w:t>）制作清算报告；</w:t>
      </w:r>
    </w:p>
    <w:p w14:paraId="65342A93"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（5）聘请会计师事务所对清算报告进行外部审计，聘请律师事务所对清算报告出具法律意见书；</w:t>
      </w:r>
    </w:p>
    <w:p w14:paraId="1D522D6F"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lastRenderedPageBreak/>
        <w:t>（</w:t>
      </w:r>
      <w:r>
        <w:rPr>
          <w:rFonts w:ascii="宋体" w:hAnsi="宋体"/>
          <w:bCs/>
          <w:szCs w:val="21"/>
        </w:rPr>
        <w:t>6</w:t>
      </w:r>
      <w:r>
        <w:rPr>
          <w:rFonts w:ascii="宋体" w:hAnsi="宋体" w:hint="eastAsia"/>
          <w:bCs/>
          <w:szCs w:val="21"/>
        </w:rPr>
        <w:t>）将清算报告报中国证监会备案并公告；</w:t>
      </w:r>
      <w:r>
        <w:rPr>
          <w:rFonts w:ascii="宋体" w:hAnsi="宋体"/>
          <w:bCs/>
          <w:szCs w:val="21"/>
        </w:rPr>
        <w:t xml:space="preserve"> </w:t>
      </w:r>
    </w:p>
    <w:p w14:paraId="74A5C19B"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7</w:t>
      </w:r>
      <w:r>
        <w:rPr>
          <w:rFonts w:ascii="宋体" w:hAnsi="宋体" w:hint="eastAsia"/>
          <w:bCs/>
          <w:szCs w:val="21"/>
        </w:rPr>
        <w:t>）对基金剩余财产进行分配。</w:t>
      </w:r>
    </w:p>
    <w:p w14:paraId="16013FB0"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基金财产清算的期限为6个月，但因本基金所持证券的流动性受到限制而不能及时变现的，清算期限相应顺延。</w:t>
      </w:r>
    </w:p>
    <w:p w14:paraId="48F4F77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3</w:t>
      </w:r>
      <w:r>
        <w:rPr>
          <w:rFonts w:ascii="宋体" w:hAnsi="宋体"/>
          <w:bCs/>
          <w:szCs w:val="21"/>
        </w:rPr>
        <w:t>.</w:t>
      </w:r>
      <w:r>
        <w:rPr>
          <w:rFonts w:ascii="宋体" w:hAnsi="宋体" w:hint="eastAsia"/>
          <w:bCs/>
          <w:szCs w:val="21"/>
        </w:rPr>
        <w:t>清算费用</w:t>
      </w:r>
    </w:p>
    <w:p w14:paraId="78C6505E"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清算费用是指基金财产清算小组在进行基金财产清算过程中发生的所有合理费用，清算费用由基金财产清算小组优先从基金财产中支付。</w:t>
      </w:r>
    </w:p>
    <w:p w14:paraId="6B061291"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4</w:t>
      </w:r>
      <w:r>
        <w:rPr>
          <w:rFonts w:ascii="宋体" w:hAnsi="宋体"/>
          <w:bCs/>
          <w:szCs w:val="21"/>
        </w:rPr>
        <w:t>.</w:t>
      </w:r>
      <w:r>
        <w:rPr>
          <w:rFonts w:ascii="宋体" w:hAnsi="宋体" w:hint="eastAsia"/>
          <w:bCs/>
          <w:szCs w:val="21"/>
        </w:rPr>
        <w:t>基金剩余财产的分配</w:t>
      </w:r>
    </w:p>
    <w:p w14:paraId="63033E95"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基金财产按如下顺序进行清偿：</w:t>
      </w:r>
    </w:p>
    <w:p w14:paraId="0E84C85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1</w:t>
      </w:r>
      <w:r>
        <w:rPr>
          <w:rFonts w:ascii="宋体" w:hAnsi="宋体" w:hint="eastAsia"/>
          <w:bCs/>
          <w:szCs w:val="21"/>
        </w:rPr>
        <w:t>）支付基金财产清算费用；</w:t>
      </w:r>
    </w:p>
    <w:p w14:paraId="1706DF97"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w:t>
      </w:r>
      <w:r>
        <w:rPr>
          <w:rFonts w:ascii="宋体" w:hAnsi="宋体" w:hint="eastAsia"/>
          <w:bCs/>
          <w:szCs w:val="21"/>
        </w:rPr>
        <w:t>）缴纳基金所欠税款；</w:t>
      </w:r>
    </w:p>
    <w:p w14:paraId="7DBC74D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3</w:t>
      </w:r>
      <w:r>
        <w:rPr>
          <w:rFonts w:ascii="宋体" w:hAnsi="宋体" w:hint="eastAsia"/>
          <w:bCs/>
          <w:szCs w:val="21"/>
        </w:rPr>
        <w:t>）清偿基金债务；</w:t>
      </w:r>
    </w:p>
    <w:p w14:paraId="41DBB69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4</w:t>
      </w:r>
      <w:r>
        <w:rPr>
          <w:rFonts w:ascii="宋体" w:hAnsi="宋体" w:hint="eastAsia"/>
          <w:bCs/>
          <w:szCs w:val="21"/>
        </w:rPr>
        <w:t>）清算后如有余额，按基金份额持有人持有的基金份额比例进行分配。</w:t>
      </w:r>
    </w:p>
    <w:p w14:paraId="24F8D889"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5</w:t>
      </w:r>
      <w:r>
        <w:rPr>
          <w:rFonts w:ascii="宋体" w:hAnsi="宋体"/>
          <w:bCs/>
          <w:szCs w:val="21"/>
        </w:rPr>
        <w:t>.</w:t>
      </w:r>
      <w:r>
        <w:rPr>
          <w:rFonts w:ascii="宋体" w:hAnsi="宋体" w:hint="eastAsia"/>
          <w:bCs/>
          <w:szCs w:val="21"/>
        </w:rPr>
        <w:t>基金财产清算的公告</w:t>
      </w:r>
    </w:p>
    <w:p w14:paraId="7997C826"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指定网站上，并将清算报告提示性公告登载在指定报刊上。</w:t>
      </w:r>
    </w:p>
    <w:p w14:paraId="4EE6457A"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6</w:t>
      </w:r>
      <w:r>
        <w:rPr>
          <w:rFonts w:ascii="宋体" w:hAnsi="宋体"/>
          <w:bCs/>
          <w:szCs w:val="21"/>
        </w:rPr>
        <w:t>.</w:t>
      </w:r>
      <w:r>
        <w:rPr>
          <w:rFonts w:ascii="宋体" w:hAnsi="宋体" w:hint="eastAsia"/>
          <w:bCs/>
          <w:szCs w:val="21"/>
        </w:rPr>
        <w:t>基金财产清算账册及文件的保存</w:t>
      </w:r>
    </w:p>
    <w:p w14:paraId="730433E8" w14:textId="77777777" w:rsidR="00706097" w:rsidRDefault="00DA6858">
      <w:pPr>
        <w:snapToGrid w:val="0"/>
        <w:spacing w:line="360" w:lineRule="auto"/>
        <w:ind w:firstLineChars="200" w:firstLine="420"/>
        <w:rPr>
          <w:rFonts w:ascii="宋体" w:hAnsi="宋体"/>
          <w:bCs/>
          <w:szCs w:val="21"/>
        </w:rPr>
      </w:pPr>
      <w:r>
        <w:rPr>
          <w:rFonts w:ascii="宋体" w:hAnsi="宋体" w:hint="eastAsia"/>
          <w:bCs/>
          <w:szCs w:val="21"/>
        </w:rPr>
        <w:t>基金财产清算账册及有关文件由基金托管人保存期限不少于</w:t>
      </w:r>
      <w:r>
        <w:rPr>
          <w:rFonts w:ascii="宋体" w:hAnsi="宋体"/>
          <w:bCs/>
          <w:szCs w:val="21"/>
        </w:rPr>
        <w:t>15</w:t>
      </w:r>
      <w:r>
        <w:rPr>
          <w:rFonts w:ascii="宋体" w:hAnsi="宋体" w:hint="eastAsia"/>
          <w:bCs/>
          <w:szCs w:val="21"/>
        </w:rPr>
        <w:t>年。</w:t>
      </w:r>
    </w:p>
    <w:p w14:paraId="03483C47" w14:textId="77777777" w:rsidR="00706097" w:rsidRDefault="00DA6858">
      <w:pPr>
        <w:snapToGrid w:val="0"/>
        <w:spacing w:line="360" w:lineRule="auto"/>
        <w:ind w:firstLineChars="200" w:firstLine="422"/>
        <w:rPr>
          <w:rFonts w:ascii="宋体" w:hAnsi="宋体"/>
        </w:rPr>
      </w:pPr>
      <w:r>
        <w:rPr>
          <w:rFonts w:ascii="宋体" w:hAnsi="宋体"/>
          <w:b/>
          <w:bCs/>
          <w:szCs w:val="21"/>
        </w:rPr>
        <w:br w:type="page"/>
      </w:r>
    </w:p>
    <w:p w14:paraId="053D1FF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45" w:name="_Toc360794114"/>
      <w:bookmarkStart w:id="346" w:name="_Toc360794422"/>
      <w:bookmarkStart w:id="347" w:name="_Toc360793864"/>
      <w:bookmarkStart w:id="348" w:name="_Toc76483034"/>
      <w:bookmarkStart w:id="349" w:name="_Toc360794530"/>
      <w:bookmarkStart w:id="350" w:name="_Toc360793512"/>
      <w:bookmarkStart w:id="351" w:name="_Toc362455197"/>
      <w:bookmarkStart w:id="352" w:name="_Toc362533469"/>
      <w:r>
        <w:rPr>
          <w:rFonts w:ascii="宋体" w:eastAsia="宋体" w:hAnsi="宋体" w:hint="eastAsia"/>
        </w:rPr>
        <w:lastRenderedPageBreak/>
        <w:t>基金份额持有人服务</w:t>
      </w:r>
      <w:bookmarkEnd w:id="345"/>
      <w:bookmarkEnd w:id="346"/>
      <w:bookmarkEnd w:id="347"/>
      <w:bookmarkEnd w:id="348"/>
      <w:bookmarkEnd w:id="349"/>
      <w:bookmarkEnd w:id="350"/>
      <w:bookmarkEnd w:id="351"/>
      <w:bookmarkEnd w:id="352"/>
    </w:p>
    <w:p w14:paraId="1500656F" w14:textId="77777777" w:rsidR="00706097" w:rsidRDefault="00706097">
      <w:pPr>
        <w:snapToGrid w:val="0"/>
        <w:spacing w:line="360" w:lineRule="auto"/>
        <w:ind w:firstLine="480"/>
        <w:rPr>
          <w:rFonts w:ascii="宋体" w:hAnsi="宋体"/>
          <w:szCs w:val="21"/>
        </w:rPr>
      </w:pPr>
    </w:p>
    <w:p w14:paraId="4B4012DB" w14:textId="77777777" w:rsidR="00706097" w:rsidRDefault="00DA6858">
      <w:pPr>
        <w:snapToGrid w:val="0"/>
        <w:spacing w:line="360" w:lineRule="auto"/>
        <w:ind w:firstLine="480"/>
      </w:pPr>
      <w:r>
        <w:rPr>
          <w:rFonts w:hint="eastAsia"/>
        </w:rPr>
        <w:t>如本招募说明书存在任何您</w:t>
      </w:r>
      <w:r>
        <w:rPr>
          <w:rFonts w:hint="eastAsia"/>
        </w:rPr>
        <w:t>/</w:t>
      </w:r>
      <w:proofErr w:type="gramStart"/>
      <w:r>
        <w:rPr>
          <w:rFonts w:hint="eastAsia"/>
        </w:rPr>
        <w:t>贵机构</w:t>
      </w:r>
      <w:proofErr w:type="gramEnd"/>
      <w:r>
        <w:rPr>
          <w:rFonts w:hint="eastAsia"/>
        </w:rPr>
        <w:t>无法理解的内容，请及时通过下述方式联系基金管理人。</w:t>
      </w:r>
      <w:proofErr w:type="gramStart"/>
      <w:r>
        <w:rPr>
          <w:rFonts w:hint="eastAsia"/>
        </w:rPr>
        <w:t>请确保</w:t>
      </w:r>
      <w:proofErr w:type="gramEnd"/>
      <w:r>
        <w:rPr>
          <w:rFonts w:hint="eastAsia"/>
        </w:rPr>
        <w:t>投资前，您</w:t>
      </w:r>
      <w:r>
        <w:rPr>
          <w:rFonts w:hint="eastAsia"/>
        </w:rPr>
        <w:t>/</w:t>
      </w:r>
      <w:proofErr w:type="gramStart"/>
      <w:r>
        <w:rPr>
          <w:rFonts w:hint="eastAsia"/>
        </w:rPr>
        <w:t>贵机构</w:t>
      </w:r>
      <w:proofErr w:type="gramEnd"/>
      <w:r>
        <w:rPr>
          <w:rFonts w:hint="eastAsia"/>
        </w:rPr>
        <w:t>已经全面理解本招募说明书，并同意全部内容。</w:t>
      </w:r>
    </w:p>
    <w:p w14:paraId="74202758" w14:textId="77777777" w:rsidR="00706097" w:rsidRDefault="00DA6858">
      <w:pPr>
        <w:snapToGrid w:val="0"/>
        <w:spacing w:line="360" w:lineRule="auto"/>
        <w:ind w:firstLine="480"/>
      </w:pPr>
      <w:r>
        <w:rPr>
          <w:rFonts w:hint="eastAsia"/>
        </w:rPr>
        <w:t>对基金份额持有人的服务主要由基金管理人、发售机构及销售机构提供，以下是基金管理人提供的主要服务内容。基金管理人根据基金份额持有人的需要和市场的变化，有权在符合法律法规的前提下，增加和修改相关服务项目。如因系统、第三方或不可抗力等原因，导致下述服务无法提供，基金管理人不承担任何责任。</w:t>
      </w:r>
    </w:p>
    <w:p w14:paraId="109263F1" w14:textId="77777777" w:rsidR="00706097" w:rsidRDefault="00706097">
      <w:pPr>
        <w:snapToGrid w:val="0"/>
        <w:spacing w:line="360" w:lineRule="auto"/>
        <w:ind w:firstLine="480"/>
      </w:pPr>
    </w:p>
    <w:p w14:paraId="5B10C986" w14:textId="77777777" w:rsidR="00706097" w:rsidRDefault="00DA6858">
      <w:pPr>
        <w:snapToGrid w:val="0"/>
        <w:spacing w:line="360" w:lineRule="auto"/>
        <w:ind w:firstLine="480"/>
      </w:pPr>
      <w:r>
        <w:rPr>
          <w:rFonts w:hint="eastAsia"/>
        </w:rPr>
        <w:t>一、交易资料的寄送及发送服务</w:t>
      </w:r>
    </w:p>
    <w:p w14:paraId="2E1003A1" w14:textId="77777777" w:rsidR="00706097" w:rsidRDefault="00DA6858">
      <w:pPr>
        <w:snapToGrid w:val="0"/>
        <w:spacing w:line="360" w:lineRule="auto"/>
        <w:ind w:firstLine="480"/>
      </w:pPr>
      <w:r>
        <w:rPr>
          <w:rFonts w:hint="eastAsia"/>
        </w:rPr>
        <w:t>1</w:t>
      </w:r>
      <w:r>
        <w:rPr>
          <w:rFonts w:hint="eastAsia"/>
        </w:rPr>
        <w:t>、注册登记人保留持有人名册上列明的所有持有人的基金交易记录；</w:t>
      </w:r>
    </w:p>
    <w:p w14:paraId="37680B2F" w14:textId="77777777" w:rsidR="00706097" w:rsidRDefault="00DA6858">
      <w:pPr>
        <w:snapToGrid w:val="0"/>
        <w:spacing w:line="360" w:lineRule="auto"/>
        <w:ind w:firstLine="480"/>
      </w:pPr>
      <w:r>
        <w:rPr>
          <w:rFonts w:hint="eastAsia"/>
        </w:rPr>
        <w:t>2</w:t>
      </w:r>
      <w:r>
        <w:rPr>
          <w:rFonts w:hint="eastAsia"/>
        </w:rPr>
        <w:t>、基金管理人向账单期内发生交易、或账单</w:t>
      </w:r>
      <w:proofErr w:type="gramStart"/>
      <w:r>
        <w:rPr>
          <w:rFonts w:hint="eastAsia"/>
        </w:rPr>
        <w:t>期末仍</w:t>
      </w:r>
      <w:proofErr w:type="gramEnd"/>
      <w:r>
        <w:rPr>
          <w:rFonts w:hint="eastAsia"/>
        </w:rPr>
        <w:t>持有本公司基金份额的基金份额持有人，按其成功定制的对账单形式，定期或不定期发送对账单，但由于基金份额持有人未详实填写或更新客户资料（含姓名、地址、邮编、联系电话、电子邮箱等）导致基金管理人无法发送，或基金份额持有人未成功定制或主动取消发送的除外；</w:t>
      </w:r>
    </w:p>
    <w:p w14:paraId="2D81DFCB" w14:textId="77777777" w:rsidR="00706097" w:rsidRDefault="00DA6858">
      <w:pPr>
        <w:snapToGrid w:val="0"/>
        <w:spacing w:line="360" w:lineRule="auto"/>
        <w:ind w:firstLine="480"/>
      </w:pPr>
      <w:r>
        <w:rPr>
          <w:rFonts w:hint="eastAsia"/>
        </w:rPr>
        <w:t>3</w:t>
      </w:r>
      <w:r>
        <w:rPr>
          <w:rFonts w:hint="eastAsia"/>
        </w:rPr>
        <w:t>、其他相关的信息资料。</w:t>
      </w:r>
    </w:p>
    <w:p w14:paraId="6A7340CA" w14:textId="77777777" w:rsidR="00706097" w:rsidRDefault="00706097">
      <w:pPr>
        <w:snapToGrid w:val="0"/>
        <w:spacing w:line="360" w:lineRule="auto"/>
        <w:ind w:firstLine="480"/>
      </w:pPr>
    </w:p>
    <w:p w14:paraId="6289819D" w14:textId="77777777" w:rsidR="00706097" w:rsidRDefault="00DA6858">
      <w:pPr>
        <w:snapToGrid w:val="0"/>
        <w:spacing w:line="360" w:lineRule="auto"/>
        <w:ind w:firstLine="480"/>
      </w:pPr>
      <w:r>
        <w:rPr>
          <w:rFonts w:hint="eastAsia"/>
        </w:rPr>
        <w:t>二、网上交易服务</w:t>
      </w:r>
    </w:p>
    <w:p w14:paraId="503E4405" w14:textId="77777777" w:rsidR="00706097" w:rsidRDefault="00DA6858">
      <w:pPr>
        <w:snapToGrid w:val="0"/>
        <w:spacing w:line="360" w:lineRule="auto"/>
        <w:ind w:firstLine="480"/>
      </w:pPr>
      <w:r>
        <w:rPr>
          <w:rFonts w:hint="eastAsia"/>
        </w:rPr>
        <w:t>基金管理人已开通个人投资者网上交易业务。个人投资者通过基金管理人网上交易平台可以办理基金认购、申购、赎回、分红方式修改、账户资料修改、交易密码修改、交易申请查询和账户资料查询等各类业务。</w:t>
      </w:r>
    </w:p>
    <w:p w14:paraId="7FC44170" w14:textId="77777777" w:rsidR="00706097" w:rsidRDefault="00DA6858">
      <w:pPr>
        <w:snapToGrid w:val="0"/>
        <w:spacing w:line="360" w:lineRule="auto"/>
        <w:ind w:firstLine="480"/>
      </w:pPr>
      <w:r>
        <w:rPr>
          <w:rFonts w:hint="eastAsia"/>
        </w:rPr>
        <w:t>在技术条件成熟时，基金管理人还将提供支持其他银行卡种的网上交易业务。</w:t>
      </w:r>
    </w:p>
    <w:p w14:paraId="270F6CC9" w14:textId="77777777" w:rsidR="00706097" w:rsidRDefault="00706097">
      <w:pPr>
        <w:snapToGrid w:val="0"/>
        <w:spacing w:line="360" w:lineRule="auto"/>
        <w:ind w:firstLine="480"/>
      </w:pPr>
    </w:p>
    <w:p w14:paraId="15CD21AE" w14:textId="77777777" w:rsidR="00706097" w:rsidRDefault="00DA6858">
      <w:pPr>
        <w:snapToGrid w:val="0"/>
        <w:spacing w:line="360" w:lineRule="auto"/>
        <w:ind w:firstLine="480"/>
      </w:pPr>
      <w:r>
        <w:rPr>
          <w:rFonts w:hint="eastAsia"/>
        </w:rPr>
        <w:t>三、客户服务中心电话服务</w:t>
      </w:r>
    </w:p>
    <w:p w14:paraId="7991CEB3" w14:textId="77777777" w:rsidR="00706097" w:rsidRDefault="00DA6858">
      <w:pPr>
        <w:snapToGrid w:val="0"/>
        <w:spacing w:line="360" w:lineRule="auto"/>
        <w:ind w:firstLine="480"/>
      </w:pPr>
      <w:r>
        <w:rPr>
          <w:rFonts w:hint="eastAsia"/>
        </w:rPr>
        <w:t>客户服务中心提供</w:t>
      </w:r>
      <w:r>
        <w:rPr>
          <w:rFonts w:hint="eastAsia"/>
        </w:rPr>
        <w:t>24</w:t>
      </w:r>
      <w:r>
        <w:rPr>
          <w:rFonts w:hint="eastAsia"/>
        </w:rPr>
        <w:t>小时自动语音查询服务。持有人可进行基金账户余额、申购与赎回交易情况查询与基金产品等信息的查询。</w:t>
      </w:r>
    </w:p>
    <w:p w14:paraId="69B39599" w14:textId="77777777" w:rsidR="00706097" w:rsidRDefault="00DA6858">
      <w:pPr>
        <w:snapToGrid w:val="0"/>
        <w:spacing w:line="360" w:lineRule="auto"/>
        <w:ind w:firstLine="480"/>
      </w:pPr>
      <w:r>
        <w:rPr>
          <w:rFonts w:hint="eastAsia"/>
        </w:rPr>
        <w:t>客户服务中心提供人工热线咨询服务，服务时间：周一至周五</w:t>
      </w:r>
      <w:r>
        <w:t>9:00</w:t>
      </w:r>
      <w:r>
        <w:rPr>
          <w:rFonts w:hint="eastAsia"/>
        </w:rPr>
        <w:t>至</w:t>
      </w:r>
      <w:r>
        <w:t>17:00</w:t>
      </w:r>
      <w:r>
        <w:rPr>
          <w:rFonts w:hint="eastAsia"/>
        </w:rPr>
        <w:t>（法定节假日除外），持有人可通过客服热线电话：</w:t>
      </w:r>
      <w:r>
        <w:rPr>
          <w:rFonts w:hint="eastAsia"/>
        </w:rPr>
        <w:t>400-959-5531</w:t>
      </w:r>
      <w:r>
        <w:rPr>
          <w:rFonts w:hint="eastAsia"/>
        </w:rPr>
        <w:t>享受业务咨询、信息查询、服务投诉、信息定制、对账单寄送地址资料修改等专项服务。</w:t>
      </w:r>
    </w:p>
    <w:p w14:paraId="297EF011" w14:textId="77777777" w:rsidR="00706097" w:rsidRDefault="00706097">
      <w:pPr>
        <w:snapToGrid w:val="0"/>
        <w:spacing w:line="360" w:lineRule="auto"/>
        <w:ind w:firstLine="480"/>
      </w:pPr>
    </w:p>
    <w:p w14:paraId="05CC7BB8" w14:textId="77777777" w:rsidR="00706097" w:rsidRDefault="00DA6858">
      <w:pPr>
        <w:snapToGrid w:val="0"/>
        <w:spacing w:line="360" w:lineRule="auto"/>
        <w:ind w:firstLine="480"/>
      </w:pPr>
      <w:r>
        <w:rPr>
          <w:rFonts w:hint="eastAsia"/>
        </w:rPr>
        <w:t>四、定期定额投资计划</w:t>
      </w:r>
    </w:p>
    <w:p w14:paraId="10B2F686" w14:textId="77777777" w:rsidR="00706097" w:rsidRDefault="00DA6858">
      <w:pPr>
        <w:snapToGrid w:val="0"/>
        <w:spacing w:line="360" w:lineRule="auto"/>
        <w:ind w:firstLine="480"/>
      </w:pPr>
      <w:r>
        <w:rPr>
          <w:rFonts w:hint="eastAsia"/>
        </w:rPr>
        <w:t>基金管理人可通过基金管理人网站</w:t>
      </w:r>
      <w:r>
        <w:rPr>
          <w:rFonts w:hint="eastAsia"/>
        </w:rPr>
        <w:t>www.donghaifunds.com</w:t>
      </w:r>
      <w:r>
        <w:rPr>
          <w:rFonts w:hint="eastAsia"/>
        </w:rPr>
        <w:t>和销售机构为投资者提供定期定额投资服务。通过定期定额投资计划，投资者可以通过销售渠道定期定额申购基金份额。定期定额投资计划的有关规则另行公告。</w:t>
      </w:r>
    </w:p>
    <w:p w14:paraId="3CA81A64" w14:textId="77777777" w:rsidR="00706097" w:rsidRDefault="00706097">
      <w:pPr>
        <w:snapToGrid w:val="0"/>
        <w:spacing w:line="360" w:lineRule="auto"/>
        <w:ind w:firstLine="480"/>
      </w:pPr>
    </w:p>
    <w:p w14:paraId="18095283" w14:textId="77777777" w:rsidR="00706097" w:rsidRDefault="00DA6858">
      <w:pPr>
        <w:snapToGrid w:val="0"/>
        <w:spacing w:line="360" w:lineRule="auto"/>
        <w:ind w:firstLine="480"/>
      </w:pPr>
      <w:r>
        <w:rPr>
          <w:rFonts w:hint="eastAsia"/>
        </w:rPr>
        <w:t>五、信息定制服务</w:t>
      </w:r>
    </w:p>
    <w:p w14:paraId="38AF1972" w14:textId="77777777" w:rsidR="00706097" w:rsidRDefault="00DA6858">
      <w:pPr>
        <w:snapToGrid w:val="0"/>
        <w:spacing w:line="360" w:lineRule="auto"/>
        <w:ind w:firstLine="480"/>
      </w:pPr>
      <w:r>
        <w:rPr>
          <w:rFonts w:hint="eastAsia"/>
        </w:rPr>
        <w:t>基金持有人可以登录拨打客服热线电话提交信息定制申请。基金管理人通过手机短信、电子邮件或其他方式按持有人的定制提供信息。可定制的信息包括：每</w:t>
      </w:r>
      <w:proofErr w:type="gramStart"/>
      <w:r>
        <w:rPr>
          <w:rFonts w:hint="eastAsia"/>
        </w:rPr>
        <w:t>周基金</w:t>
      </w:r>
      <w:proofErr w:type="gramEnd"/>
      <w:r>
        <w:rPr>
          <w:rFonts w:hint="eastAsia"/>
        </w:rPr>
        <w:t>净值、交易确认信息、投资者服务刊物、分红公告、公司公告等。基金管理人可以根据实际业务需要，调整定制信息的条件、方式和内容。</w:t>
      </w:r>
    </w:p>
    <w:p w14:paraId="30700A8C" w14:textId="77777777" w:rsidR="00706097" w:rsidRDefault="00706097">
      <w:pPr>
        <w:snapToGrid w:val="0"/>
        <w:spacing w:line="360" w:lineRule="auto"/>
        <w:ind w:firstLine="480"/>
      </w:pPr>
    </w:p>
    <w:p w14:paraId="5551786C" w14:textId="77777777" w:rsidR="00706097" w:rsidRDefault="00DA6858">
      <w:pPr>
        <w:snapToGrid w:val="0"/>
        <w:spacing w:line="360" w:lineRule="auto"/>
        <w:ind w:firstLine="480"/>
      </w:pPr>
      <w:r>
        <w:rPr>
          <w:rFonts w:hint="eastAsia"/>
        </w:rPr>
        <w:t>六、投资者投诉受理服务</w:t>
      </w:r>
    </w:p>
    <w:p w14:paraId="31859FBA" w14:textId="77777777" w:rsidR="00706097" w:rsidRDefault="00DA6858">
      <w:pPr>
        <w:snapToGrid w:val="0"/>
        <w:spacing w:line="360" w:lineRule="auto"/>
        <w:ind w:firstLine="480"/>
      </w:pPr>
      <w:r>
        <w:rPr>
          <w:rFonts w:hint="eastAsia"/>
        </w:rPr>
        <w:t>投资者可以通过销售机构网点或基金管理人客服热线电话、信函及电子邮件等形式对基金管理人或销售网点所提供的服务进行投诉。</w:t>
      </w:r>
    </w:p>
    <w:p w14:paraId="6E4D69E6" w14:textId="77777777" w:rsidR="00706097" w:rsidRDefault="00DA6858">
      <w:pPr>
        <w:snapToGrid w:val="0"/>
        <w:spacing w:line="360" w:lineRule="auto"/>
        <w:ind w:firstLine="480"/>
      </w:pPr>
      <w:r>
        <w:rPr>
          <w:rFonts w:hint="eastAsia"/>
        </w:rPr>
        <w:t>客服热线电话投诉、电子邮件投诉、信函投诉是主要投诉受理渠道，基金管理</w:t>
      </w:r>
      <w:proofErr w:type="gramStart"/>
      <w:r>
        <w:rPr>
          <w:rFonts w:hint="eastAsia"/>
        </w:rPr>
        <w:t>人客户</w:t>
      </w:r>
      <w:proofErr w:type="gramEnd"/>
      <w:r>
        <w:rPr>
          <w:rFonts w:hint="eastAsia"/>
        </w:rPr>
        <w:t>服务部负责管理投诉电话、投诉邮箱。现场投诉和意见簿投诉是补充投诉渠道，由各销售机构和基金管理人分别管理。</w:t>
      </w:r>
    </w:p>
    <w:p w14:paraId="2AE499C3" w14:textId="77777777" w:rsidR="00706097" w:rsidRDefault="00DA6858">
      <w:pPr>
        <w:snapToGrid w:val="0"/>
        <w:spacing w:line="360" w:lineRule="auto"/>
        <w:ind w:firstLine="480"/>
      </w:pPr>
      <w:r>
        <w:rPr>
          <w:rFonts w:hint="eastAsia"/>
        </w:rPr>
        <w:t>对于工作日期间受理的投诉，原则上是及时回复；对于不能及时回复的投诉，基金管理人承诺在投诉送达基金管理人的</w:t>
      </w:r>
      <w:r>
        <w:rPr>
          <w:rFonts w:hint="eastAsia"/>
        </w:rPr>
        <w:t>24</w:t>
      </w:r>
      <w:r>
        <w:rPr>
          <w:rFonts w:hint="eastAsia"/>
        </w:rPr>
        <w:t>小时之内做出回复。对于非工作日提出的投诉，顺延至下一工作日完成回复。</w:t>
      </w:r>
    </w:p>
    <w:p w14:paraId="1EEB9566" w14:textId="77777777" w:rsidR="00706097" w:rsidRDefault="00DA6858">
      <w:pPr>
        <w:snapToGrid w:val="0"/>
        <w:spacing w:line="360" w:lineRule="auto"/>
        <w:ind w:firstLine="480"/>
      </w:pPr>
      <w:r>
        <w:rPr>
          <w:rFonts w:hint="eastAsia"/>
        </w:rPr>
        <w:t>客户服务部邮箱：</w:t>
      </w:r>
      <w:hyperlink r:id="rId21" w:history="1">
        <w:r>
          <w:t>service@donghaifunds.com</w:t>
        </w:r>
      </w:hyperlink>
    </w:p>
    <w:p w14:paraId="4ECF2F70" w14:textId="77777777" w:rsidR="00706097" w:rsidRDefault="00DA6858">
      <w:pPr>
        <w:snapToGrid w:val="0"/>
        <w:spacing w:line="360" w:lineRule="auto"/>
        <w:ind w:firstLine="480"/>
      </w:pPr>
      <w:r>
        <w:br w:type="page"/>
      </w:r>
    </w:p>
    <w:p w14:paraId="7D5BBD2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53" w:name="_Toc76483035"/>
      <w:bookmarkStart w:id="354" w:name="_Toc360794531"/>
      <w:bookmarkStart w:id="355" w:name="_Toc360794423"/>
      <w:bookmarkStart w:id="356" w:name="_Toc362455198"/>
      <w:bookmarkStart w:id="357" w:name="_Toc360794115"/>
      <w:bookmarkStart w:id="358" w:name="_Toc360793865"/>
      <w:bookmarkStart w:id="359" w:name="_Toc362533470"/>
      <w:bookmarkStart w:id="360" w:name="_Toc360793513"/>
      <w:r>
        <w:rPr>
          <w:rFonts w:ascii="宋体" w:eastAsia="宋体" w:hAnsi="宋体" w:hint="eastAsia"/>
        </w:rPr>
        <w:lastRenderedPageBreak/>
        <w:t>其他应披露事项</w:t>
      </w:r>
      <w:bookmarkEnd w:id="353"/>
      <w:bookmarkEnd w:id="354"/>
      <w:bookmarkEnd w:id="355"/>
      <w:bookmarkEnd w:id="356"/>
      <w:bookmarkEnd w:id="357"/>
      <w:bookmarkEnd w:id="358"/>
      <w:bookmarkEnd w:id="359"/>
      <w:bookmarkEnd w:id="360"/>
    </w:p>
    <w:tbl>
      <w:tblPr>
        <w:tblW w:w="0" w:type="auto"/>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1"/>
        <w:gridCol w:w="1923"/>
      </w:tblGrid>
      <w:tr w:rsidR="009255A6" w14:paraId="523235AA" w14:textId="77777777" w:rsidTr="00D011AC">
        <w:tc>
          <w:tcPr>
            <w:tcW w:w="6631" w:type="dxa"/>
            <w:tcBorders>
              <w:bottom w:val="single" w:sz="4" w:space="0" w:color="auto"/>
            </w:tcBorders>
            <w:shd w:val="clear" w:color="auto" w:fill="auto"/>
          </w:tcPr>
          <w:p w14:paraId="04E1A279" w14:textId="77777777" w:rsidR="009255A6" w:rsidRDefault="009255A6" w:rsidP="00D011AC">
            <w:pPr>
              <w:jc w:val="center"/>
              <w:rPr>
                <w:rFonts w:ascii="宋体" w:hAnsi="宋体" w:cs="宋体"/>
                <w:szCs w:val="21"/>
              </w:rPr>
            </w:pPr>
            <w:r>
              <w:rPr>
                <w:rFonts w:ascii="宋体" w:hAnsi="宋体" w:cs="宋体" w:hint="eastAsia"/>
                <w:szCs w:val="21"/>
              </w:rPr>
              <w:t>公告事项</w:t>
            </w:r>
          </w:p>
        </w:tc>
        <w:tc>
          <w:tcPr>
            <w:tcW w:w="1923" w:type="dxa"/>
            <w:tcBorders>
              <w:bottom w:val="single" w:sz="4" w:space="0" w:color="auto"/>
            </w:tcBorders>
            <w:shd w:val="clear" w:color="auto" w:fill="auto"/>
          </w:tcPr>
          <w:p w14:paraId="5F22B979" w14:textId="77777777" w:rsidR="009255A6" w:rsidRDefault="009255A6" w:rsidP="00D011AC">
            <w:pPr>
              <w:jc w:val="center"/>
              <w:rPr>
                <w:rFonts w:ascii="宋体" w:hAnsi="宋体" w:cs="宋体"/>
                <w:szCs w:val="21"/>
              </w:rPr>
            </w:pPr>
            <w:r>
              <w:rPr>
                <w:rFonts w:ascii="宋体" w:hAnsi="宋体" w:cs="宋体" w:hint="eastAsia"/>
                <w:szCs w:val="21"/>
              </w:rPr>
              <w:t>披露日期</w:t>
            </w:r>
          </w:p>
        </w:tc>
      </w:tr>
      <w:tr w:rsidR="009255A6" w14:paraId="45CBECEA" w14:textId="77777777" w:rsidTr="00D011AC">
        <w:trPr>
          <w:trHeight w:val="274"/>
        </w:trPr>
        <w:tc>
          <w:tcPr>
            <w:tcW w:w="6631" w:type="dxa"/>
            <w:vAlign w:val="center"/>
          </w:tcPr>
          <w:p w14:paraId="6B41AB5F" w14:textId="77777777" w:rsidR="009255A6" w:rsidRDefault="009255A6" w:rsidP="00D011AC">
            <w:r>
              <w:rPr>
                <w:rFonts w:hint="eastAsia"/>
              </w:rPr>
              <w:t>东海基金管理有限责任公司关于东海</w:t>
            </w:r>
            <w:proofErr w:type="gramStart"/>
            <w:r>
              <w:rPr>
                <w:rFonts w:hint="eastAsia"/>
              </w:rPr>
              <w:t>祥苏短</w:t>
            </w:r>
            <w:proofErr w:type="gramEnd"/>
            <w:r>
              <w:rPr>
                <w:rFonts w:hint="eastAsia"/>
              </w:rPr>
              <w:t>债债券型证券投资基金新增</w:t>
            </w:r>
            <w:r>
              <w:rPr>
                <w:rFonts w:hint="eastAsia"/>
              </w:rPr>
              <w:t>E</w:t>
            </w:r>
            <w:r>
              <w:rPr>
                <w:rFonts w:hint="eastAsia"/>
              </w:rPr>
              <w:t>类基金份额并修改基金合同及托管协议等事项的公告</w:t>
            </w:r>
          </w:p>
        </w:tc>
        <w:tc>
          <w:tcPr>
            <w:tcW w:w="1923" w:type="dxa"/>
            <w:vAlign w:val="center"/>
          </w:tcPr>
          <w:p w14:paraId="51585BF0" w14:textId="77777777" w:rsidR="009255A6" w:rsidRPr="00FA0B8F"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4</w:t>
            </w:r>
            <w:r>
              <w:rPr>
                <w:rFonts w:ascii="宋体" w:hAnsi="宋体" w:cs="宋体" w:hint="eastAsia"/>
                <w:szCs w:val="21"/>
              </w:rPr>
              <w:t>月1</w:t>
            </w:r>
            <w:r>
              <w:rPr>
                <w:rFonts w:ascii="宋体" w:hAnsi="宋体" w:cs="宋体"/>
                <w:szCs w:val="21"/>
              </w:rPr>
              <w:t>1</w:t>
            </w:r>
            <w:r>
              <w:rPr>
                <w:rFonts w:ascii="宋体" w:hAnsi="宋体" w:cs="宋体" w:hint="eastAsia"/>
                <w:szCs w:val="21"/>
              </w:rPr>
              <w:t>日</w:t>
            </w:r>
          </w:p>
        </w:tc>
      </w:tr>
      <w:tr w:rsidR="009255A6" w14:paraId="2B38F69D" w14:textId="77777777" w:rsidTr="00D011AC">
        <w:trPr>
          <w:trHeight w:val="274"/>
        </w:trPr>
        <w:tc>
          <w:tcPr>
            <w:tcW w:w="6631" w:type="dxa"/>
            <w:vAlign w:val="center"/>
          </w:tcPr>
          <w:p w14:paraId="3B4CA7F9"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w:t>
            </w:r>
            <w:proofErr w:type="gramStart"/>
            <w:r>
              <w:rPr>
                <w:rFonts w:hint="eastAsia"/>
              </w:rPr>
              <w:t>基金基金</w:t>
            </w:r>
            <w:proofErr w:type="gramEnd"/>
            <w:r>
              <w:rPr>
                <w:rFonts w:hint="eastAsia"/>
              </w:rPr>
              <w:t>合同</w:t>
            </w:r>
          </w:p>
        </w:tc>
        <w:tc>
          <w:tcPr>
            <w:tcW w:w="1923" w:type="dxa"/>
            <w:vAlign w:val="center"/>
          </w:tcPr>
          <w:p w14:paraId="06D4C291" w14:textId="77777777" w:rsidR="009255A6"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4</w:t>
            </w:r>
            <w:r>
              <w:rPr>
                <w:rFonts w:ascii="宋体" w:hAnsi="宋体" w:cs="宋体" w:hint="eastAsia"/>
                <w:szCs w:val="21"/>
              </w:rPr>
              <w:t>月1</w:t>
            </w:r>
            <w:r>
              <w:rPr>
                <w:rFonts w:ascii="宋体" w:hAnsi="宋体" w:cs="宋体"/>
                <w:szCs w:val="21"/>
              </w:rPr>
              <w:t>1</w:t>
            </w:r>
            <w:r>
              <w:rPr>
                <w:rFonts w:ascii="宋体" w:hAnsi="宋体" w:cs="宋体" w:hint="eastAsia"/>
                <w:szCs w:val="21"/>
              </w:rPr>
              <w:t>日</w:t>
            </w:r>
          </w:p>
        </w:tc>
      </w:tr>
      <w:tr w:rsidR="009255A6" w14:paraId="4C55B37F" w14:textId="77777777" w:rsidTr="00D011AC">
        <w:trPr>
          <w:trHeight w:val="274"/>
        </w:trPr>
        <w:tc>
          <w:tcPr>
            <w:tcW w:w="6631" w:type="dxa"/>
            <w:vAlign w:val="center"/>
          </w:tcPr>
          <w:p w14:paraId="4359B8E1" w14:textId="77777777" w:rsidR="009255A6" w:rsidRPr="00707B12" w:rsidRDefault="009255A6" w:rsidP="00D011AC">
            <w:r>
              <w:rPr>
                <w:rFonts w:hint="eastAsia"/>
              </w:rPr>
              <w:t>东海</w:t>
            </w:r>
            <w:proofErr w:type="gramStart"/>
            <w:r>
              <w:rPr>
                <w:rFonts w:hint="eastAsia"/>
              </w:rPr>
              <w:t>祥苏短</w:t>
            </w:r>
            <w:proofErr w:type="gramEnd"/>
            <w:r>
              <w:rPr>
                <w:rFonts w:hint="eastAsia"/>
              </w:rPr>
              <w:t>债债券型证券投资基金托管协议</w:t>
            </w:r>
          </w:p>
        </w:tc>
        <w:tc>
          <w:tcPr>
            <w:tcW w:w="1923" w:type="dxa"/>
            <w:vAlign w:val="center"/>
          </w:tcPr>
          <w:p w14:paraId="64167364" w14:textId="77777777" w:rsidR="009255A6"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4</w:t>
            </w:r>
            <w:r>
              <w:rPr>
                <w:rFonts w:ascii="宋体" w:hAnsi="宋体" w:cs="宋体" w:hint="eastAsia"/>
                <w:szCs w:val="21"/>
              </w:rPr>
              <w:t>月1</w:t>
            </w:r>
            <w:r>
              <w:rPr>
                <w:rFonts w:ascii="宋体" w:hAnsi="宋体" w:cs="宋体"/>
                <w:szCs w:val="21"/>
              </w:rPr>
              <w:t>1</w:t>
            </w:r>
            <w:r>
              <w:rPr>
                <w:rFonts w:ascii="宋体" w:hAnsi="宋体" w:cs="宋体" w:hint="eastAsia"/>
                <w:szCs w:val="21"/>
              </w:rPr>
              <w:t>日</w:t>
            </w:r>
          </w:p>
        </w:tc>
      </w:tr>
      <w:tr w:rsidR="009255A6" w14:paraId="1BE941DE" w14:textId="77777777" w:rsidTr="00D011AC">
        <w:trPr>
          <w:trHeight w:val="274"/>
        </w:trPr>
        <w:tc>
          <w:tcPr>
            <w:tcW w:w="6631" w:type="dxa"/>
            <w:vAlign w:val="center"/>
          </w:tcPr>
          <w:p w14:paraId="0ED3E5C2" w14:textId="77777777" w:rsidR="009255A6" w:rsidRPr="00707B12" w:rsidRDefault="009255A6" w:rsidP="00D011AC">
            <w:r>
              <w:rPr>
                <w:rFonts w:hint="eastAsia"/>
              </w:rPr>
              <w:t>东海</w:t>
            </w:r>
            <w:proofErr w:type="gramStart"/>
            <w:r>
              <w:rPr>
                <w:rFonts w:hint="eastAsia"/>
              </w:rPr>
              <w:t>祥苏短</w:t>
            </w:r>
            <w:proofErr w:type="gramEnd"/>
            <w:r>
              <w:rPr>
                <w:rFonts w:hint="eastAsia"/>
              </w:rPr>
              <w:t>债债券型证券投资基金招募说明书（更新）（</w:t>
            </w:r>
            <w:r>
              <w:rPr>
                <w:rFonts w:hint="eastAsia"/>
              </w:rPr>
              <w:t>2</w:t>
            </w:r>
            <w:r>
              <w:t>022</w:t>
            </w:r>
            <w:r>
              <w:rPr>
                <w:rFonts w:hint="eastAsia"/>
              </w:rPr>
              <w:t>年</w:t>
            </w:r>
            <w:r>
              <w:rPr>
                <w:rFonts w:hint="eastAsia"/>
              </w:rPr>
              <w:t>2</w:t>
            </w:r>
            <w:r>
              <w:rPr>
                <w:rFonts w:hint="eastAsia"/>
              </w:rPr>
              <w:t>号）</w:t>
            </w:r>
          </w:p>
        </w:tc>
        <w:tc>
          <w:tcPr>
            <w:tcW w:w="1923" w:type="dxa"/>
            <w:vAlign w:val="center"/>
          </w:tcPr>
          <w:p w14:paraId="7221F60D" w14:textId="77777777" w:rsidR="009255A6"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4</w:t>
            </w:r>
            <w:r>
              <w:rPr>
                <w:rFonts w:ascii="宋体" w:hAnsi="宋体" w:cs="宋体" w:hint="eastAsia"/>
                <w:szCs w:val="21"/>
              </w:rPr>
              <w:t>月1</w:t>
            </w:r>
            <w:r>
              <w:rPr>
                <w:rFonts w:ascii="宋体" w:hAnsi="宋体" w:cs="宋体"/>
                <w:szCs w:val="21"/>
              </w:rPr>
              <w:t>1</w:t>
            </w:r>
            <w:r>
              <w:rPr>
                <w:rFonts w:ascii="宋体" w:hAnsi="宋体" w:cs="宋体" w:hint="eastAsia"/>
                <w:szCs w:val="21"/>
              </w:rPr>
              <w:t>日</w:t>
            </w:r>
          </w:p>
        </w:tc>
      </w:tr>
      <w:tr w:rsidR="009255A6" w14:paraId="3DEDD341" w14:textId="77777777" w:rsidTr="00D011AC">
        <w:trPr>
          <w:trHeight w:val="274"/>
        </w:trPr>
        <w:tc>
          <w:tcPr>
            <w:tcW w:w="6631" w:type="dxa"/>
            <w:vAlign w:val="center"/>
          </w:tcPr>
          <w:p w14:paraId="5E909FEA" w14:textId="77777777" w:rsidR="009255A6" w:rsidRPr="00707B12" w:rsidRDefault="009255A6" w:rsidP="00D011AC">
            <w:r>
              <w:rPr>
                <w:rFonts w:hint="eastAsia"/>
              </w:rPr>
              <w:t>东海</w:t>
            </w:r>
            <w:proofErr w:type="gramStart"/>
            <w:r>
              <w:rPr>
                <w:rFonts w:hint="eastAsia"/>
              </w:rPr>
              <w:t>祥苏短</w:t>
            </w:r>
            <w:proofErr w:type="gramEnd"/>
            <w:r>
              <w:rPr>
                <w:rFonts w:hint="eastAsia"/>
              </w:rPr>
              <w:t>债债券型证券投资基金（东海</w:t>
            </w:r>
            <w:proofErr w:type="gramStart"/>
            <w:r>
              <w:rPr>
                <w:rFonts w:hint="eastAsia"/>
              </w:rPr>
              <w:t>祥苏短</w:t>
            </w:r>
            <w:proofErr w:type="gramEnd"/>
            <w:r>
              <w:rPr>
                <w:rFonts w:hint="eastAsia"/>
              </w:rPr>
              <w:t>债</w:t>
            </w:r>
            <w:r>
              <w:rPr>
                <w:rFonts w:hint="eastAsia"/>
              </w:rPr>
              <w:t>A</w:t>
            </w:r>
            <w:r>
              <w:rPr>
                <w:rFonts w:hint="eastAsia"/>
              </w:rPr>
              <w:t>份额）基金产品资料概要（更新）、东海</w:t>
            </w:r>
            <w:proofErr w:type="gramStart"/>
            <w:r>
              <w:rPr>
                <w:rFonts w:hint="eastAsia"/>
              </w:rPr>
              <w:t>祥苏短</w:t>
            </w:r>
            <w:proofErr w:type="gramEnd"/>
            <w:r>
              <w:rPr>
                <w:rFonts w:hint="eastAsia"/>
              </w:rPr>
              <w:t>债债券型证券投资基金（东海</w:t>
            </w:r>
            <w:proofErr w:type="gramStart"/>
            <w:r>
              <w:rPr>
                <w:rFonts w:hint="eastAsia"/>
              </w:rPr>
              <w:t>祥苏短</w:t>
            </w:r>
            <w:proofErr w:type="gramEnd"/>
            <w:r>
              <w:rPr>
                <w:rFonts w:hint="eastAsia"/>
              </w:rPr>
              <w:t>债</w:t>
            </w:r>
            <w:r>
              <w:rPr>
                <w:rFonts w:hint="eastAsia"/>
              </w:rPr>
              <w:t xml:space="preserve"> C</w:t>
            </w:r>
            <w:r>
              <w:rPr>
                <w:rFonts w:hint="eastAsia"/>
              </w:rPr>
              <w:t>份额）基金产品资料概要（更新）、东海</w:t>
            </w:r>
            <w:proofErr w:type="gramStart"/>
            <w:r>
              <w:rPr>
                <w:rFonts w:hint="eastAsia"/>
              </w:rPr>
              <w:t>祥苏短</w:t>
            </w:r>
            <w:proofErr w:type="gramEnd"/>
            <w:r>
              <w:rPr>
                <w:rFonts w:hint="eastAsia"/>
              </w:rPr>
              <w:t>债债券型证券投资基金（东海</w:t>
            </w:r>
            <w:proofErr w:type="gramStart"/>
            <w:r>
              <w:rPr>
                <w:rFonts w:hint="eastAsia"/>
              </w:rPr>
              <w:t>祥苏短</w:t>
            </w:r>
            <w:proofErr w:type="gramEnd"/>
            <w:r>
              <w:rPr>
                <w:rFonts w:hint="eastAsia"/>
              </w:rPr>
              <w:t>债</w:t>
            </w:r>
            <w:r>
              <w:t>E</w:t>
            </w:r>
            <w:r>
              <w:rPr>
                <w:rFonts w:hint="eastAsia"/>
              </w:rPr>
              <w:t>份额）基金产品资料概要（更新）</w:t>
            </w:r>
          </w:p>
        </w:tc>
        <w:tc>
          <w:tcPr>
            <w:tcW w:w="1923" w:type="dxa"/>
            <w:vAlign w:val="center"/>
          </w:tcPr>
          <w:p w14:paraId="6D53ABAC" w14:textId="77777777" w:rsidR="009255A6"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4</w:t>
            </w:r>
            <w:r>
              <w:rPr>
                <w:rFonts w:ascii="宋体" w:hAnsi="宋体" w:cs="宋体" w:hint="eastAsia"/>
                <w:szCs w:val="21"/>
              </w:rPr>
              <w:t>月1</w:t>
            </w:r>
            <w:r>
              <w:rPr>
                <w:rFonts w:ascii="宋体" w:hAnsi="宋体" w:cs="宋体"/>
                <w:szCs w:val="21"/>
              </w:rPr>
              <w:t>1</w:t>
            </w:r>
            <w:r>
              <w:rPr>
                <w:rFonts w:ascii="宋体" w:hAnsi="宋体" w:cs="宋体" w:hint="eastAsia"/>
                <w:szCs w:val="21"/>
              </w:rPr>
              <w:t>日</w:t>
            </w:r>
          </w:p>
        </w:tc>
      </w:tr>
      <w:tr w:rsidR="009255A6" w14:paraId="3A45900C" w14:textId="77777777" w:rsidTr="00D011AC">
        <w:trPr>
          <w:trHeight w:val="274"/>
        </w:trPr>
        <w:tc>
          <w:tcPr>
            <w:tcW w:w="6631" w:type="dxa"/>
            <w:vAlign w:val="center"/>
          </w:tcPr>
          <w:p w14:paraId="67CE427F"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2022</w:t>
            </w:r>
            <w:r>
              <w:rPr>
                <w:rFonts w:hint="eastAsia"/>
              </w:rPr>
              <w:t>年第</w:t>
            </w:r>
            <w:r>
              <w:rPr>
                <w:rFonts w:hint="eastAsia"/>
              </w:rPr>
              <w:t>1</w:t>
            </w:r>
            <w:r>
              <w:rPr>
                <w:rFonts w:hint="eastAsia"/>
              </w:rPr>
              <w:t>季度报告</w:t>
            </w:r>
          </w:p>
        </w:tc>
        <w:tc>
          <w:tcPr>
            <w:tcW w:w="1923" w:type="dxa"/>
            <w:vAlign w:val="center"/>
          </w:tcPr>
          <w:p w14:paraId="6ED9F2D4"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4</w:t>
            </w:r>
            <w:r>
              <w:rPr>
                <w:rFonts w:ascii="宋体" w:hAnsi="宋体" w:cs="宋体" w:hint="eastAsia"/>
                <w:szCs w:val="21"/>
              </w:rPr>
              <w:t>月2</w:t>
            </w:r>
            <w:r>
              <w:rPr>
                <w:rFonts w:ascii="宋体" w:hAnsi="宋体" w:cs="宋体"/>
                <w:szCs w:val="21"/>
              </w:rPr>
              <w:t>2</w:t>
            </w:r>
            <w:r>
              <w:rPr>
                <w:rFonts w:ascii="宋体" w:hAnsi="宋体" w:cs="宋体" w:hint="eastAsia"/>
                <w:szCs w:val="21"/>
              </w:rPr>
              <w:t>日</w:t>
            </w:r>
          </w:p>
        </w:tc>
      </w:tr>
      <w:tr w:rsidR="009255A6" w14:paraId="07D97D3D" w14:textId="77777777" w:rsidTr="00D011AC">
        <w:trPr>
          <w:trHeight w:val="274"/>
        </w:trPr>
        <w:tc>
          <w:tcPr>
            <w:tcW w:w="6631" w:type="dxa"/>
            <w:vAlign w:val="center"/>
          </w:tcPr>
          <w:p w14:paraId="19B3FEE5"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2022</w:t>
            </w:r>
            <w:r>
              <w:rPr>
                <w:rFonts w:hint="eastAsia"/>
              </w:rPr>
              <w:t>年第</w:t>
            </w:r>
            <w:r>
              <w:rPr>
                <w:rFonts w:hint="eastAsia"/>
              </w:rPr>
              <w:t>2</w:t>
            </w:r>
            <w:r>
              <w:rPr>
                <w:rFonts w:hint="eastAsia"/>
              </w:rPr>
              <w:t>季度报告</w:t>
            </w:r>
          </w:p>
        </w:tc>
        <w:tc>
          <w:tcPr>
            <w:tcW w:w="1923" w:type="dxa"/>
            <w:vAlign w:val="center"/>
          </w:tcPr>
          <w:p w14:paraId="29464533"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w:t>
            </w:r>
            <w:r>
              <w:rPr>
                <w:rFonts w:ascii="宋体" w:hAnsi="宋体" w:cs="宋体"/>
                <w:szCs w:val="21"/>
              </w:rPr>
              <w:t>7</w:t>
            </w:r>
            <w:r>
              <w:rPr>
                <w:rFonts w:ascii="宋体" w:hAnsi="宋体" w:cs="宋体" w:hint="eastAsia"/>
                <w:szCs w:val="21"/>
              </w:rPr>
              <w:t>月2</w:t>
            </w:r>
            <w:r>
              <w:rPr>
                <w:rFonts w:ascii="宋体" w:hAnsi="宋体" w:cs="宋体"/>
                <w:szCs w:val="21"/>
              </w:rPr>
              <w:t>1</w:t>
            </w:r>
            <w:r>
              <w:rPr>
                <w:rFonts w:ascii="宋体" w:hAnsi="宋体" w:cs="宋体" w:hint="eastAsia"/>
                <w:szCs w:val="21"/>
              </w:rPr>
              <w:t>日</w:t>
            </w:r>
          </w:p>
        </w:tc>
      </w:tr>
      <w:tr w:rsidR="009255A6" w14:paraId="69C4A75D" w14:textId="77777777" w:rsidTr="00D011AC">
        <w:trPr>
          <w:trHeight w:val="274"/>
        </w:trPr>
        <w:tc>
          <w:tcPr>
            <w:tcW w:w="6631" w:type="dxa"/>
            <w:vAlign w:val="center"/>
          </w:tcPr>
          <w:p w14:paraId="3DA63A1E" w14:textId="77777777" w:rsidR="009255A6" w:rsidRDefault="009255A6" w:rsidP="00D011AC">
            <w:r w:rsidRPr="00707B12">
              <w:rPr>
                <w:rFonts w:hint="eastAsia"/>
              </w:rPr>
              <w:t>东海基金管理有限责任公司关于董事长变更的公告</w:t>
            </w:r>
          </w:p>
        </w:tc>
        <w:tc>
          <w:tcPr>
            <w:tcW w:w="1923" w:type="dxa"/>
            <w:vAlign w:val="center"/>
          </w:tcPr>
          <w:p w14:paraId="2D106A24" w14:textId="77777777" w:rsidR="009255A6" w:rsidRDefault="009255A6" w:rsidP="00D011AC">
            <w:pPr>
              <w:rPr>
                <w:rFonts w:ascii="宋体" w:hAnsi="宋体" w:cs="宋体"/>
                <w:szCs w:val="21"/>
              </w:rPr>
            </w:pPr>
            <w:r w:rsidRPr="00707B12">
              <w:rPr>
                <w:rFonts w:ascii="宋体" w:hAnsi="宋体" w:cs="宋体" w:hint="eastAsia"/>
                <w:szCs w:val="21"/>
              </w:rPr>
              <w:t>2022年08月19日</w:t>
            </w:r>
          </w:p>
        </w:tc>
      </w:tr>
      <w:tr w:rsidR="009255A6" w14:paraId="3EC6C30C" w14:textId="77777777" w:rsidTr="00D011AC">
        <w:trPr>
          <w:trHeight w:val="274"/>
        </w:trPr>
        <w:tc>
          <w:tcPr>
            <w:tcW w:w="6631" w:type="dxa"/>
            <w:vAlign w:val="center"/>
          </w:tcPr>
          <w:p w14:paraId="38559525"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2022</w:t>
            </w:r>
            <w:r>
              <w:rPr>
                <w:rFonts w:hint="eastAsia"/>
              </w:rPr>
              <w:t>年中期报告</w:t>
            </w:r>
          </w:p>
        </w:tc>
        <w:tc>
          <w:tcPr>
            <w:tcW w:w="1923" w:type="dxa"/>
            <w:vAlign w:val="center"/>
          </w:tcPr>
          <w:p w14:paraId="464777AB"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年08月3</w:t>
            </w:r>
            <w:r>
              <w:rPr>
                <w:rFonts w:ascii="宋体" w:hAnsi="宋体" w:cs="宋体"/>
                <w:szCs w:val="21"/>
              </w:rPr>
              <w:t>1</w:t>
            </w:r>
            <w:r>
              <w:rPr>
                <w:rFonts w:ascii="宋体" w:hAnsi="宋体" w:cs="宋体" w:hint="eastAsia"/>
                <w:szCs w:val="21"/>
              </w:rPr>
              <w:t>日</w:t>
            </w:r>
          </w:p>
        </w:tc>
      </w:tr>
      <w:tr w:rsidR="009255A6" w14:paraId="683BDA86" w14:textId="77777777" w:rsidTr="00D011AC">
        <w:trPr>
          <w:trHeight w:val="274"/>
        </w:trPr>
        <w:tc>
          <w:tcPr>
            <w:tcW w:w="6631" w:type="dxa"/>
            <w:vAlign w:val="center"/>
          </w:tcPr>
          <w:p w14:paraId="6A357AB9" w14:textId="77777777" w:rsidR="009255A6" w:rsidRDefault="009255A6" w:rsidP="00D011AC">
            <w:r w:rsidRPr="00707B12">
              <w:rPr>
                <w:rFonts w:hint="eastAsia"/>
              </w:rPr>
              <w:t>东海基金管理有限责任公司高级管理人员变更公告</w:t>
            </w:r>
          </w:p>
        </w:tc>
        <w:tc>
          <w:tcPr>
            <w:tcW w:w="1923" w:type="dxa"/>
            <w:vAlign w:val="center"/>
          </w:tcPr>
          <w:p w14:paraId="20B20378" w14:textId="77777777" w:rsidR="009255A6" w:rsidRDefault="009255A6" w:rsidP="00D011AC">
            <w:pPr>
              <w:rPr>
                <w:rFonts w:ascii="宋体" w:hAnsi="宋体" w:cs="宋体"/>
                <w:szCs w:val="21"/>
              </w:rPr>
            </w:pPr>
            <w:r w:rsidRPr="00707B12">
              <w:rPr>
                <w:rFonts w:ascii="宋体" w:hAnsi="宋体" w:cs="宋体" w:hint="eastAsia"/>
                <w:szCs w:val="21"/>
              </w:rPr>
              <w:t>2022年09月22日</w:t>
            </w:r>
          </w:p>
        </w:tc>
      </w:tr>
      <w:tr w:rsidR="009255A6" w14:paraId="2F4DB14F" w14:textId="77777777" w:rsidTr="00D011AC">
        <w:trPr>
          <w:trHeight w:val="274"/>
        </w:trPr>
        <w:tc>
          <w:tcPr>
            <w:tcW w:w="6631" w:type="dxa"/>
            <w:vAlign w:val="center"/>
          </w:tcPr>
          <w:p w14:paraId="5B3B2EE7" w14:textId="77777777" w:rsidR="009255A6" w:rsidRPr="00707B12" w:rsidRDefault="009255A6" w:rsidP="00D011AC">
            <w:r>
              <w:rPr>
                <w:rFonts w:hint="eastAsia"/>
              </w:rPr>
              <w:t>东海</w:t>
            </w:r>
            <w:proofErr w:type="gramStart"/>
            <w:r>
              <w:rPr>
                <w:rFonts w:hint="eastAsia"/>
              </w:rPr>
              <w:t>祥苏短</w:t>
            </w:r>
            <w:proofErr w:type="gramEnd"/>
            <w:r>
              <w:rPr>
                <w:rFonts w:hint="eastAsia"/>
              </w:rPr>
              <w:t>债债券型证券投资</w:t>
            </w:r>
            <w:proofErr w:type="gramStart"/>
            <w:r>
              <w:rPr>
                <w:rFonts w:hint="eastAsia"/>
              </w:rPr>
              <w:t>基金基金</w:t>
            </w:r>
            <w:proofErr w:type="gramEnd"/>
            <w:r>
              <w:rPr>
                <w:rFonts w:hint="eastAsia"/>
              </w:rPr>
              <w:t>暂停大额申购、大额转换转入、定期定额投资公告</w:t>
            </w:r>
          </w:p>
        </w:tc>
        <w:tc>
          <w:tcPr>
            <w:tcW w:w="1923" w:type="dxa"/>
            <w:vAlign w:val="center"/>
          </w:tcPr>
          <w:p w14:paraId="08834729" w14:textId="77777777" w:rsidR="009255A6" w:rsidRPr="00707B12"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年0</w:t>
            </w:r>
            <w:r>
              <w:rPr>
                <w:rFonts w:ascii="宋体" w:hAnsi="宋体" w:cs="宋体"/>
                <w:szCs w:val="21"/>
              </w:rPr>
              <w:t>9</w:t>
            </w:r>
            <w:r>
              <w:rPr>
                <w:rFonts w:ascii="宋体" w:hAnsi="宋体" w:cs="宋体" w:hint="eastAsia"/>
                <w:szCs w:val="21"/>
              </w:rPr>
              <w:t>月2</w:t>
            </w:r>
            <w:r>
              <w:rPr>
                <w:rFonts w:ascii="宋体" w:hAnsi="宋体" w:cs="宋体"/>
                <w:szCs w:val="21"/>
              </w:rPr>
              <w:t>2</w:t>
            </w:r>
            <w:r>
              <w:rPr>
                <w:rFonts w:ascii="宋体" w:hAnsi="宋体" w:cs="宋体" w:hint="eastAsia"/>
                <w:szCs w:val="21"/>
              </w:rPr>
              <w:t>日</w:t>
            </w:r>
          </w:p>
        </w:tc>
      </w:tr>
      <w:tr w:rsidR="009255A6" w14:paraId="6B12EA2B" w14:textId="77777777" w:rsidTr="00D011AC">
        <w:trPr>
          <w:trHeight w:val="274"/>
        </w:trPr>
        <w:tc>
          <w:tcPr>
            <w:tcW w:w="6631" w:type="dxa"/>
            <w:vAlign w:val="center"/>
          </w:tcPr>
          <w:p w14:paraId="5297ED21" w14:textId="77777777" w:rsidR="009255A6" w:rsidRDefault="009255A6" w:rsidP="00D011AC">
            <w:r w:rsidRPr="00707B12">
              <w:rPr>
                <w:rFonts w:hint="eastAsia"/>
              </w:rPr>
              <w:t>东海基金管理有限责任公司高级管理人员变更公告</w:t>
            </w:r>
          </w:p>
        </w:tc>
        <w:tc>
          <w:tcPr>
            <w:tcW w:w="1923" w:type="dxa"/>
            <w:vAlign w:val="center"/>
          </w:tcPr>
          <w:p w14:paraId="2970E521" w14:textId="77777777" w:rsidR="009255A6" w:rsidRDefault="009255A6" w:rsidP="00D011AC">
            <w:pPr>
              <w:rPr>
                <w:rFonts w:ascii="宋体" w:hAnsi="宋体" w:cs="宋体"/>
                <w:szCs w:val="21"/>
              </w:rPr>
            </w:pPr>
            <w:r w:rsidRPr="00707B12">
              <w:rPr>
                <w:rFonts w:ascii="宋体" w:hAnsi="宋体" w:cs="宋体" w:hint="eastAsia"/>
                <w:szCs w:val="21"/>
              </w:rPr>
              <w:t>2022年09月30日</w:t>
            </w:r>
          </w:p>
        </w:tc>
      </w:tr>
      <w:tr w:rsidR="009255A6" w14:paraId="6096A91F" w14:textId="77777777" w:rsidTr="00D011AC">
        <w:trPr>
          <w:trHeight w:val="274"/>
        </w:trPr>
        <w:tc>
          <w:tcPr>
            <w:tcW w:w="6631" w:type="dxa"/>
            <w:vAlign w:val="center"/>
          </w:tcPr>
          <w:p w14:paraId="4FAE62E4" w14:textId="77777777" w:rsidR="009255A6" w:rsidRDefault="009255A6" w:rsidP="00D011AC">
            <w:r w:rsidRPr="00707B12">
              <w:rPr>
                <w:rFonts w:hint="eastAsia"/>
              </w:rPr>
              <w:t>东海基金管理有限责任公司旗下基金改聘会计师事务所公告</w:t>
            </w:r>
          </w:p>
        </w:tc>
        <w:tc>
          <w:tcPr>
            <w:tcW w:w="1923" w:type="dxa"/>
            <w:vAlign w:val="center"/>
          </w:tcPr>
          <w:p w14:paraId="701494A0" w14:textId="77777777" w:rsidR="009255A6" w:rsidRDefault="009255A6" w:rsidP="00D011AC">
            <w:pPr>
              <w:rPr>
                <w:rFonts w:ascii="宋体" w:hAnsi="宋体" w:cs="宋体"/>
                <w:szCs w:val="21"/>
              </w:rPr>
            </w:pPr>
            <w:r w:rsidRPr="00707B12">
              <w:rPr>
                <w:rFonts w:ascii="宋体" w:hAnsi="宋体" w:cs="宋体" w:hint="eastAsia"/>
                <w:szCs w:val="21"/>
              </w:rPr>
              <w:t>2022年10月26日</w:t>
            </w:r>
          </w:p>
        </w:tc>
      </w:tr>
      <w:tr w:rsidR="009255A6" w14:paraId="27AFE9DC" w14:textId="77777777" w:rsidTr="00D011AC">
        <w:trPr>
          <w:trHeight w:val="274"/>
        </w:trPr>
        <w:tc>
          <w:tcPr>
            <w:tcW w:w="6631" w:type="dxa"/>
            <w:vAlign w:val="center"/>
          </w:tcPr>
          <w:p w14:paraId="0EE2F2CA"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2022</w:t>
            </w:r>
            <w:r>
              <w:rPr>
                <w:rFonts w:hint="eastAsia"/>
              </w:rPr>
              <w:t>年第</w:t>
            </w:r>
            <w:r>
              <w:t>3</w:t>
            </w:r>
            <w:r>
              <w:rPr>
                <w:rFonts w:hint="eastAsia"/>
              </w:rPr>
              <w:t>季度报告</w:t>
            </w:r>
          </w:p>
        </w:tc>
        <w:tc>
          <w:tcPr>
            <w:tcW w:w="1923" w:type="dxa"/>
            <w:vAlign w:val="center"/>
          </w:tcPr>
          <w:p w14:paraId="3388F1C5"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022</w:t>
            </w:r>
            <w:r>
              <w:rPr>
                <w:rFonts w:ascii="宋体" w:hAnsi="宋体" w:cs="宋体" w:hint="eastAsia"/>
                <w:szCs w:val="21"/>
              </w:rPr>
              <w:t>年1</w:t>
            </w:r>
            <w:r>
              <w:rPr>
                <w:rFonts w:ascii="宋体" w:hAnsi="宋体" w:cs="宋体"/>
                <w:szCs w:val="21"/>
              </w:rPr>
              <w:t>0</w:t>
            </w:r>
            <w:r>
              <w:rPr>
                <w:rFonts w:ascii="宋体" w:hAnsi="宋体" w:cs="宋体" w:hint="eastAsia"/>
                <w:szCs w:val="21"/>
              </w:rPr>
              <w:t>月2</w:t>
            </w:r>
            <w:r>
              <w:rPr>
                <w:rFonts w:ascii="宋体" w:hAnsi="宋体" w:cs="宋体"/>
                <w:szCs w:val="21"/>
              </w:rPr>
              <w:t>6</w:t>
            </w:r>
            <w:r>
              <w:rPr>
                <w:rFonts w:ascii="宋体" w:hAnsi="宋体" w:cs="宋体" w:hint="eastAsia"/>
                <w:szCs w:val="21"/>
              </w:rPr>
              <w:t>日</w:t>
            </w:r>
          </w:p>
        </w:tc>
      </w:tr>
      <w:tr w:rsidR="009255A6" w14:paraId="56E372BC" w14:textId="77777777" w:rsidTr="00D011AC">
        <w:trPr>
          <w:trHeight w:val="274"/>
        </w:trPr>
        <w:tc>
          <w:tcPr>
            <w:tcW w:w="6631" w:type="dxa"/>
            <w:vAlign w:val="center"/>
          </w:tcPr>
          <w:p w14:paraId="22AB67DA"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 xml:space="preserve"> </w:t>
            </w:r>
            <w:r>
              <w:rPr>
                <w:rFonts w:hint="eastAsia"/>
              </w:rPr>
              <w:t>暂停大额申购、大额转换转入、定期定额投资公告</w:t>
            </w:r>
          </w:p>
        </w:tc>
        <w:tc>
          <w:tcPr>
            <w:tcW w:w="1923" w:type="dxa"/>
            <w:vAlign w:val="center"/>
          </w:tcPr>
          <w:p w14:paraId="24BBE240" w14:textId="77777777" w:rsidR="009255A6" w:rsidRPr="00707B12" w:rsidRDefault="009255A6" w:rsidP="00D011AC">
            <w:pPr>
              <w:rPr>
                <w:rFonts w:ascii="宋体" w:hAnsi="宋体" w:cs="宋体"/>
                <w:szCs w:val="21"/>
              </w:rPr>
            </w:pPr>
            <w:r>
              <w:rPr>
                <w:rFonts w:ascii="宋体" w:hAnsi="宋体" w:cs="宋体"/>
                <w:szCs w:val="21"/>
              </w:rPr>
              <w:t>2022</w:t>
            </w:r>
            <w:r>
              <w:rPr>
                <w:rFonts w:ascii="宋体" w:hAnsi="宋体" w:cs="宋体" w:hint="eastAsia"/>
                <w:szCs w:val="21"/>
              </w:rPr>
              <w:t>年1</w:t>
            </w:r>
            <w:r>
              <w:rPr>
                <w:rFonts w:ascii="宋体" w:hAnsi="宋体" w:cs="宋体"/>
                <w:szCs w:val="21"/>
              </w:rPr>
              <w:t>2</w:t>
            </w:r>
            <w:r>
              <w:rPr>
                <w:rFonts w:ascii="宋体" w:hAnsi="宋体" w:cs="宋体" w:hint="eastAsia"/>
                <w:szCs w:val="21"/>
              </w:rPr>
              <w:t>月</w:t>
            </w:r>
            <w:r>
              <w:rPr>
                <w:rFonts w:ascii="宋体" w:hAnsi="宋体" w:cs="宋体"/>
                <w:szCs w:val="21"/>
              </w:rPr>
              <w:t>24</w:t>
            </w:r>
            <w:r>
              <w:rPr>
                <w:rFonts w:ascii="宋体" w:hAnsi="宋体" w:cs="宋体" w:hint="eastAsia"/>
                <w:szCs w:val="21"/>
              </w:rPr>
              <w:t>日</w:t>
            </w:r>
          </w:p>
        </w:tc>
      </w:tr>
      <w:tr w:rsidR="009255A6" w14:paraId="555C1926" w14:textId="77777777" w:rsidTr="00D011AC">
        <w:trPr>
          <w:trHeight w:val="274"/>
        </w:trPr>
        <w:tc>
          <w:tcPr>
            <w:tcW w:w="6631" w:type="dxa"/>
            <w:vAlign w:val="center"/>
          </w:tcPr>
          <w:p w14:paraId="6EB58D0E"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w:t>
            </w:r>
            <w:proofErr w:type="gramStart"/>
            <w:r>
              <w:rPr>
                <w:rFonts w:hint="eastAsia"/>
              </w:rPr>
              <w:t>基金基金</w:t>
            </w:r>
            <w:proofErr w:type="gramEnd"/>
            <w:r>
              <w:rPr>
                <w:rFonts w:hint="eastAsia"/>
              </w:rPr>
              <w:t>暂停大额申购、大额转换转入、定期定额投资公告</w:t>
            </w:r>
          </w:p>
        </w:tc>
        <w:tc>
          <w:tcPr>
            <w:tcW w:w="1923" w:type="dxa"/>
            <w:vAlign w:val="center"/>
          </w:tcPr>
          <w:p w14:paraId="45F14E78"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023</w:t>
            </w:r>
            <w:r>
              <w:rPr>
                <w:rFonts w:ascii="宋体" w:hAnsi="宋体" w:cs="宋体" w:hint="eastAsia"/>
                <w:szCs w:val="21"/>
              </w:rPr>
              <w:t>年</w:t>
            </w:r>
            <w:r>
              <w:rPr>
                <w:rFonts w:ascii="宋体" w:hAnsi="宋体" w:cs="宋体"/>
                <w:szCs w:val="21"/>
              </w:rPr>
              <w:t>01</w:t>
            </w:r>
            <w:r>
              <w:rPr>
                <w:rFonts w:ascii="宋体" w:hAnsi="宋体" w:cs="宋体" w:hint="eastAsia"/>
                <w:szCs w:val="21"/>
              </w:rPr>
              <w:t>月1</w:t>
            </w:r>
            <w:r>
              <w:rPr>
                <w:rFonts w:ascii="宋体" w:hAnsi="宋体" w:cs="宋体"/>
                <w:szCs w:val="21"/>
              </w:rPr>
              <w:t>6</w:t>
            </w:r>
            <w:r>
              <w:rPr>
                <w:rFonts w:ascii="宋体" w:hAnsi="宋体" w:cs="宋体" w:hint="eastAsia"/>
                <w:szCs w:val="21"/>
              </w:rPr>
              <w:t>日</w:t>
            </w:r>
          </w:p>
        </w:tc>
      </w:tr>
      <w:tr w:rsidR="009255A6" w14:paraId="5EA95B4B" w14:textId="77777777" w:rsidTr="00D011AC">
        <w:trPr>
          <w:trHeight w:val="274"/>
        </w:trPr>
        <w:tc>
          <w:tcPr>
            <w:tcW w:w="6631" w:type="dxa"/>
            <w:vAlign w:val="center"/>
          </w:tcPr>
          <w:p w14:paraId="493DB28D" w14:textId="77777777" w:rsidR="009255A6" w:rsidRDefault="009255A6" w:rsidP="00D011AC">
            <w:r>
              <w:rPr>
                <w:rFonts w:hint="eastAsia"/>
              </w:rPr>
              <w:t>东海</w:t>
            </w:r>
            <w:proofErr w:type="gramStart"/>
            <w:r>
              <w:rPr>
                <w:rFonts w:hint="eastAsia"/>
              </w:rPr>
              <w:t>祥苏短</w:t>
            </w:r>
            <w:proofErr w:type="gramEnd"/>
            <w:r>
              <w:rPr>
                <w:rFonts w:hint="eastAsia"/>
              </w:rPr>
              <w:t>债债券型证券投资基金</w:t>
            </w:r>
            <w:r>
              <w:rPr>
                <w:rFonts w:hint="eastAsia"/>
              </w:rPr>
              <w:t>2022</w:t>
            </w:r>
            <w:r>
              <w:rPr>
                <w:rFonts w:hint="eastAsia"/>
              </w:rPr>
              <w:t>年第</w:t>
            </w:r>
            <w:r>
              <w:t>4</w:t>
            </w:r>
            <w:r>
              <w:rPr>
                <w:rFonts w:hint="eastAsia"/>
              </w:rPr>
              <w:t>季度报告</w:t>
            </w:r>
          </w:p>
        </w:tc>
        <w:tc>
          <w:tcPr>
            <w:tcW w:w="1923" w:type="dxa"/>
            <w:vAlign w:val="center"/>
          </w:tcPr>
          <w:p w14:paraId="5EF7ACB4" w14:textId="77777777" w:rsidR="009255A6" w:rsidRDefault="009255A6" w:rsidP="00D011AC">
            <w:pPr>
              <w:rPr>
                <w:rFonts w:ascii="宋体" w:hAnsi="宋体" w:cs="宋体"/>
                <w:szCs w:val="21"/>
              </w:rPr>
            </w:pPr>
            <w:r>
              <w:rPr>
                <w:rFonts w:ascii="宋体" w:hAnsi="宋体" w:cs="宋体" w:hint="eastAsia"/>
                <w:szCs w:val="21"/>
              </w:rPr>
              <w:t>2</w:t>
            </w:r>
            <w:r>
              <w:rPr>
                <w:rFonts w:ascii="宋体" w:hAnsi="宋体" w:cs="宋体"/>
                <w:szCs w:val="21"/>
              </w:rPr>
              <w:t>023</w:t>
            </w:r>
            <w:r>
              <w:rPr>
                <w:rFonts w:ascii="宋体" w:hAnsi="宋体" w:cs="宋体" w:hint="eastAsia"/>
                <w:szCs w:val="21"/>
              </w:rPr>
              <w:t>年0</w:t>
            </w:r>
            <w:r>
              <w:rPr>
                <w:rFonts w:ascii="宋体" w:hAnsi="宋体" w:cs="宋体"/>
                <w:szCs w:val="21"/>
              </w:rPr>
              <w:t>1</w:t>
            </w:r>
            <w:r>
              <w:rPr>
                <w:rFonts w:ascii="宋体" w:hAnsi="宋体" w:cs="宋体" w:hint="eastAsia"/>
                <w:szCs w:val="21"/>
              </w:rPr>
              <w:t>月2</w:t>
            </w:r>
            <w:r>
              <w:rPr>
                <w:rFonts w:ascii="宋体" w:hAnsi="宋体" w:cs="宋体"/>
                <w:szCs w:val="21"/>
              </w:rPr>
              <w:t>0</w:t>
            </w:r>
            <w:r>
              <w:rPr>
                <w:rFonts w:ascii="宋体" w:hAnsi="宋体" w:cs="宋体" w:hint="eastAsia"/>
                <w:szCs w:val="21"/>
              </w:rPr>
              <w:t>日</w:t>
            </w:r>
          </w:p>
        </w:tc>
      </w:tr>
    </w:tbl>
    <w:p w14:paraId="65DFECBF" w14:textId="77777777" w:rsidR="00706097" w:rsidRDefault="00706097">
      <w:pPr>
        <w:adjustRightInd w:val="0"/>
        <w:snapToGrid w:val="0"/>
        <w:spacing w:line="360" w:lineRule="auto"/>
        <w:ind w:firstLineChars="200" w:firstLine="420"/>
        <w:rPr>
          <w:rFonts w:ascii="宋体" w:hAnsi="宋体" w:cs="宋体"/>
          <w:szCs w:val="21"/>
        </w:rPr>
      </w:pPr>
    </w:p>
    <w:p w14:paraId="5A8A3753" w14:textId="77777777" w:rsidR="00706097" w:rsidRDefault="00706097">
      <w:pPr>
        <w:adjustRightInd w:val="0"/>
        <w:snapToGrid w:val="0"/>
        <w:spacing w:line="360" w:lineRule="auto"/>
        <w:ind w:firstLineChars="200" w:firstLine="420"/>
        <w:rPr>
          <w:rFonts w:ascii="宋体" w:hAnsi="宋体"/>
        </w:rPr>
      </w:pPr>
    </w:p>
    <w:p w14:paraId="03794020" w14:textId="77777777" w:rsidR="00706097" w:rsidRDefault="00DA6858">
      <w:pPr>
        <w:adjustRightInd w:val="0"/>
        <w:snapToGrid w:val="0"/>
        <w:spacing w:line="360" w:lineRule="auto"/>
        <w:ind w:firstLineChars="200" w:firstLine="420"/>
        <w:rPr>
          <w:rFonts w:ascii="宋体" w:hAnsi="宋体"/>
        </w:rPr>
      </w:pPr>
      <w:r>
        <w:rPr>
          <w:rFonts w:ascii="宋体" w:hAnsi="宋体"/>
        </w:rPr>
        <w:br w:type="page"/>
      </w:r>
    </w:p>
    <w:p w14:paraId="5D9DBE5A"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61" w:name="_Toc360794424"/>
      <w:bookmarkStart w:id="362" w:name="_Toc360793866"/>
      <w:bookmarkStart w:id="363" w:name="_Toc362455199"/>
      <w:bookmarkStart w:id="364" w:name="_Toc362533471"/>
      <w:bookmarkStart w:id="365" w:name="_Toc360794532"/>
      <w:bookmarkStart w:id="366" w:name="_Toc76483036"/>
      <w:bookmarkStart w:id="367" w:name="_Toc360794116"/>
      <w:bookmarkStart w:id="368" w:name="_Toc360793514"/>
      <w:r>
        <w:rPr>
          <w:rFonts w:ascii="宋体" w:eastAsia="宋体" w:hAnsi="宋体" w:hint="eastAsia"/>
        </w:rPr>
        <w:lastRenderedPageBreak/>
        <w:t>招募说明书存放及其查阅方式</w:t>
      </w:r>
      <w:bookmarkEnd w:id="361"/>
      <w:bookmarkEnd w:id="362"/>
      <w:bookmarkEnd w:id="363"/>
      <w:bookmarkEnd w:id="364"/>
      <w:bookmarkEnd w:id="365"/>
      <w:bookmarkEnd w:id="366"/>
      <w:bookmarkEnd w:id="367"/>
      <w:bookmarkEnd w:id="368"/>
    </w:p>
    <w:p w14:paraId="079C5B6A" w14:textId="77777777" w:rsidR="00706097" w:rsidRDefault="00706097">
      <w:pPr>
        <w:snapToGrid w:val="0"/>
        <w:spacing w:line="360" w:lineRule="auto"/>
        <w:ind w:firstLineChars="200" w:firstLine="420"/>
        <w:rPr>
          <w:rFonts w:ascii="宋体" w:hAnsi="宋体"/>
        </w:rPr>
      </w:pPr>
    </w:p>
    <w:p w14:paraId="146BA762" w14:textId="77777777" w:rsidR="00706097" w:rsidRDefault="00DA6858">
      <w:pPr>
        <w:snapToGrid w:val="0"/>
        <w:spacing w:line="360" w:lineRule="auto"/>
        <w:ind w:firstLineChars="200" w:firstLine="420"/>
        <w:rPr>
          <w:rFonts w:ascii="宋体" w:hAnsi="宋体"/>
        </w:rPr>
      </w:pPr>
      <w:r>
        <w:rPr>
          <w:rFonts w:ascii="宋体" w:hAnsi="宋体" w:hint="eastAsia"/>
        </w:rPr>
        <w:t>本招募说明书存放在本基金管理人、基金托管人、销售机构的办公场所，投资</w:t>
      </w:r>
      <w:r>
        <w:rPr>
          <w:rFonts w:ascii="宋体" w:hAnsi="宋体"/>
          <w:szCs w:val="21"/>
        </w:rPr>
        <w:t>人</w:t>
      </w:r>
      <w:r>
        <w:rPr>
          <w:rFonts w:ascii="宋体" w:hAnsi="宋体" w:hint="eastAsia"/>
        </w:rPr>
        <w:t>可在办公时间免费查阅；也可按工本费购买本招募说明书复制件或复印件，但应以招募说明书正本为准。</w:t>
      </w:r>
    </w:p>
    <w:p w14:paraId="01012516" w14:textId="77777777" w:rsidR="00706097" w:rsidRDefault="00DA6858">
      <w:pPr>
        <w:snapToGrid w:val="0"/>
        <w:spacing w:line="360" w:lineRule="auto"/>
        <w:ind w:firstLineChars="200" w:firstLine="420"/>
        <w:rPr>
          <w:rFonts w:ascii="宋体" w:hAnsi="宋体"/>
        </w:rPr>
      </w:pPr>
      <w:r>
        <w:rPr>
          <w:rFonts w:ascii="宋体" w:hAnsi="宋体" w:hint="eastAsia"/>
        </w:rPr>
        <w:t>基金管理人和基金托管人保证文本的内容与所公告的内容完全一致。</w:t>
      </w:r>
    </w:p>
    <w:p w14:paraId="23F85F3D" w14:textId="77777777" w:rsidR="00706097" w:rsidRDefault="00DA6858">
      <w:pPr>
        <w:snapToGrid w:val="0"/>
        <w:spacing w:line="360" w:lineRule="auto"/>
        <w:ind w:firstLineChars="200" w:firstLine="420"/>
        <w:rPr>
          <w:rFonts w:ascii="宋体" w:hAnsi="宋体"/>
        </w:rPr>
      </w:pPr>
      <w:r>
        <w:rPr>
          <w:rFonts w:ascii="宋体" w:hAnsi="宋体"/>
        </w:rPr>
        <w:br w:type="page"/>
      </w:r>
    </w:p>
    <w:p w14:paraId="0A6A5B04" w14:textId="77777777" w:rsidR="00706097" w:rsidRDefault="00DA6858">
      <w:pPr>
        <w:pStyle w:val="21"/>
        <w:numPr>
          <w:ilvl w:val="0"/>
          <w:numId w:val="28"/>
        </w:numPr>
        <w:snapToGrid w:val="0"/>
        <w:spacing w:before="0" w:after="0" w:line="360" w:lineRule="auto"/>
        <w:jc w:val="left"/>
        <w:rPr>
          <w:rFonts w:ascii="宋体" w:eastAsia="宋体" w:hAnsi="宋体"/>
        </w:rPr>
      </w:pPr>
      <w:bookmarkStart w:id="369" w:name="_Toc360794425"/>
      <w:bookmarkStart w:id="370" w:name="_Toc360794117"/>
      <w:bookmarkStart w:id="371" w:name="_Toc360793515"/>
      <w:bookmarkStart w:id="372" w:name="_Toc362455200"/>
      <w:bookmarkStart w:id="373" w:name="_Toc362533472"/>
      <w:bookmarkStart w:id="374" w:name="_Toc360793867"/>
      <w:bookmarkStart w:id="375" w:name="_Toc76483037"/>
      <w:bookmarkStart w:id="376" w:name="_Toc360794533"/>
      <w:r>
        <w:rPr>
          <w:rFonts w:ascii="宋体" w:eastAsia="宋体" w:hAnsi="宋体" w:hint="eastAsia"/>
        </w:rPr>
        <w:lastRenderedPageBreak/>
        <w:t>备查文件</w:t>
      </w:r>
      <w:bookmarkEnd w:id="369"/>
      <w:bookmarkEnd w:id="370"/>
      <w:bookmarkEnd w:id="371"/>
      <w:bookmarkEnd w:id="372"/>
      <w:bookmarkEnd w:id="373"/>
      <w:bookmarkEnd w:id="374"/>
      <w:bookmarkEnd w:id="375"/>
      <w:bookmarkEnd w:id="376"/>
    </w:p>
    <w:p w14:paraId="2D325BBE" w14:textId="77777777" w:rsidR="00706097" w:rsidRDefault="00706097">
      <w:pPr>
        <w:adjustRightInd w:val="0"/>
        <w:snapToGrid w:val="0"/>
        <w:spacing w:line="360" w:lineRule="auto"/>
        <w:ind w:firstLine="539"/>
        <w:rPr>
          <w:rFonts w:ascii="宋体" w:hAnsi="宋体"/>
        </w:rPr>
      </w:pPr>
    </w:p>
    <w:p w14:paraId="7FF65B74" w14:textId="77777777" w:rsidR="00706097" w:rsidRDefault="00DA6858">
      <w:pPr>
        <w:adjustRightInd w:val="0"/>
        <w:snapToGrid w:val="0"/>
        <w:spacing w:line="360" w:lineRule="auto"/>
        <w:ind w:firstLine="539"/>
        <w:rPr>
          <w:rFonts w:ascii="宋体" w:hAnsi="宋体"/>
        </w:rPr>
      </w:pPr>
      <w:r>
        <w:rPr>
          <w:rFonts w:ascii="宋体" w:hAnsi="宋体" w:hint="eastAsia"/>
        </w:rPr>
        <w:t>1、</w:t>
      </w:r>
      <w:r>
        <w:rPr>
          <w:rFonts w:ascii="宋体" w:hAnsi="宋体"/>
          <w:szCs w:val="21"/>
        </w:rPr>
        <w:t>中国证监会</w:t>
      </w:r>
      <w:r>
        <w:t>准予本基金募集注册</w:t>
      </w:r>
      <w:r>
        <w:rPr>
          <w:rFonts w:ascii="宋体" w:hAnsi="宋体"/>
          <w:szCs w:val="21"/>
        </w:rPr>
        <w:t>的文件</w:t>
      </w:r>
    </w:p>
    <w:p w14:paraId="291F6804" w14:textId="77777777" w:rsidR="00706097" w:rsidRDefault="00DA6858">
      <w:pPr>
        <w:adjustRightInd w:val="0"/>
        <w:snapToGrid w:val="0"/>
        <w:spacing w:line="360" w:lineRule="auto"/>
        <w:ind w:firstLine="539"/>
        <w:rPr>
          <w:rFonts w:ascii="宋体" w:hAnsi="宋体"/>
        </w:rPr>
      </w:pPr>
      <w:r>
        <w:rPr>
          <w:rFonts w:ascii="宋体" w:hAnsi="宋体" w:hint="eastAsia"/>
        </w:rPr>
        <w:t>2、《东海祥苏短债债券型证券投资基金基金合同》</w:t>
      </w:r>
    </w:p>
    <w:p w14:paraId="34E62EDB" w14:textId="77777777" w:rsidR="00706097" w:rsidRDefault="00DA6858">
      <w:pPr>
        <w:adjustRightInd w:val="0"/>
        <w:snapToGrid w:val="0"/>
        <w:spacing w:line="360" w:lineRule="auto"/>
        <w:ind w:firstLine="539"/>
        <w:rPr>
          <w:rFonts w:ascii="宋体" w:hAnsi="宋体"/>
        </w:rPr>
      </w:pPr>
      <w:r>
        <w:rPr>
          <w:rFonts w:ascii="宋体" w:hAnsi="宋体" w:hint="eastAsia"/>
        </w:rPr>
        <w:t>3、《东海祥苏短债债券型证券投资基金托管协议》</w:t>
      </w:r>
    </w:p>
    <w:p w14:paraId="7DA05362" w14:textId="77777777" w:rsidR="00706097" w:rsidRDefault="00DA6858">
      <w:pPr>
        <w:adjustRightInd w:val="0"/>
        <w:snapToGrid w:val="0"/>
        <w:spacing w:line="360" w:lineRule="auto"/>
        <w:ind w:firstLine="539"/>
        <w:rPr>
          <w:rFonts w:ascii="宋体" w:hAnsi="宋体"/>
        </w:rPr>
      </w:pPr>
      <w:r>
        <w:rPr>
          <w:rFonts w:ascii="宋体" w:hAnsi="宋体" w:hint="eastAsia"/>
        </w:rPr>
        <w:t>4、《东海基金管理有限责任公司开放式基金业务规则》</w:t>
      </w:r>
    </w:p>
    <w:p w14:paraId="0AABCFEA" w14:textId="77777777" w:rsidR="00706097" w:rsidRDefault="00DA6858">
      <w:pPr>
        <w:adjustRightInd w:val="0"/>
        <w:snapToGrid w:val="0"/>
        <w:spacing w:line="360" w:lineRule="auto"/>
        <w:ind w:firstLine="539"/>
        <w:rPr>
          <w:rFonts w:ascii="宋体" w:hAnsi="宋体"/>
        </w:rPr>
      </w:pPr>
      <w:r>
        <w:rPr>
          <w:rFonts w:ascii="宋体" w:hAnsi="宋体" w:hint="eastAsia"/>
        </w:rPr>
        <w:t>5、法律意见书</w:t>
      </w:r>
    </w:p>
    <w:p w14:paraId="7C53FA7A" w14:textId="77777777" w:rsidR="00706097" w:rsidRDefault="00DA6858">
      <w:pPr>
        <w:adjustRightInd w:val="0"/>
        <w:snapToGrid w:val="0"/>
        <w:spacing w:line="360" w:lineRule="auto"/>
        <w:ind w:firstLine="539"/>
        <w:rPr>
          <w:rFonts w:ascii="宋体" w:hAnsi="宋体"/>
        </w:rPr>
      </w:pPr>
      <w:r>
        <w:rPr>
          <w:rFonts w:ascii="宋体" w:hAnsi="宋体" w:hint="eastAsia"/>
        </w:rPr>
        <w:t>6、基金管理人业务资格批件、营业执照</w:t>
      </w:r>
    </w:p>
    <w:p w14:paraId="3CBD1C8C" w14:textId="77777777" w:rsidR="00706097" w:rsidRDefault="00DA6858">
      <w:pPr>
        <w:adjustRightInd w:val="0"/>
        <w:snapToGrid w:val="0"/>
        <w:spacing w:line="360" w:lineRule="auto"/>
        <w:ind w:firstLine="539"/>
        <w:rPr>
          <w:rFonts w:ascii="宋体" w:hAnsi="宋体"/>
        </w:rPr>
      </w:pPr>
      <w:r>
        <w:rPr>
          <w:rFonts w:ascii="宋体" w:hAnsi="宋体" w:hint="eastAsia"/>
        </w:rPr>
        <w:t>7、基金托管人业务资格批件、营业执照</w:t>
      </w:r>
    </w:p>
    <w:p w14:paraId="3DFCF503" w14:textId="77777777" w:rsidR="00706097" w:rsidRDefault="00DA6858">
      <w:pPr>
        <w:adjustRightInd w:val="0"/>
        <w:snapToGrid w:val="0"/>
        <w:spacing w:line="360" w:lineRule="auto"/>
        <w:ind w:firstLine="539"/>
        <w:rPr>
          <w:rFonts w:ascii="宋体" w:hAnsi="宋体"/>
        </w:rPr>
      </w:pPr>
      <w:r>
        <w:rPr>
          <w:rFonts w:ascii="宋体" w:hAnsi="宋体" w:hint="eastAsia"/>
        </w:rPr>
        <w:t>8、中国证监会要求的其他文件</w:t>
      </w:r>
    </w:p>
    <w:p w14:paraId="2C5038E0" w14:textId="77777777" w:rsidR="00706097" w:rsidRDefault="00706097">
      <w:pPr>
        <w:adjustRightInd w:val="0"/>
        <w:snapToGrid w:val="0"/>
        <w:spacing w:line="360" w:lineRule="auto"/>
        <w:ind w:firstLine="539"/>
        <w:rPr>
          <w:rFonts w:ascii="宋体" w:hAnsi="宋体"/>
        </w:rPr>
      </w:pPr>
    </w:p>
    <w:p w14:paraId="1CA2B97A" w14:textId="77777777" w:rsidR="00706097" w:rsidRDefault="00706097">
      <w:pPr>
        <w:adjustRightInd w:val="0"/>
        <w:snapToGrid w:val="0"/>
        <w:spacing w:line="360" w:lineRule="auto"/>
        <w:ind w:firstLine="539"/>
        <w:rPr>
          <w:rFonts w:ascii="宋体" w:hAnsi="宋体"/>
        </w:rPr>
      </w:pPr>
    </w:p>
    <w:p w14:paraId="29B23777" w14:textId="77777777" w:rsidR="00706097" w:rsidRDefault="00706097">
      <w:pPr>
        <w:adjustRightInd w:val="0"/>
        <w:snapToGrid w:val="0"/>
        <w:spacing w:line="360" w:lineRule="auto"/>
        <w:ind w:firstLine="539"/>
        <w:jc w:val="right"/>
        <w:rPr>
          <w:rFonts w:ascii="宋体" w:hAnsi="宋体"/>
        </w:rPr>
      </w:pPr>
    </w:p>
    <w:p w14:paraId="3506A846" w14:textId="77777777" w:rsidR="00706097" w:rsidRDefault="00DA6858">
      <w:pPr>
        <w:adjustRightInd w:val="0"/>
        <w:snapToGrid w:val="0"/>
        <w:spacing w:line="360" w:lineRule="auto"/>
        <w:ind w:firstLine="539"/>
        <w:jc w:val="right"/>
        <w:rPr>
          <w:rFonts w:ascii="宋体" w:hAnsi="宋体"/>
        </w:rPr>
      </w:pPr>
      <w:r>
        <w:rPr>
          <w:rFonts w:ascii="宋体" w:hAnsi="宋体" w:hint="eastAsia"/>
        </w:rPr>
        <w:t>东海基金管理有限责任公司</w:t>
      </w:r>
    </w:p>
    <w:p w14:paraId="5B724950" w14:textId="423A1FD8" w:rsidR="00706097" w:rsidRDefault="00DA6858">
      <w:pPr>
        <w:adjustRightInd w:val="0"/>
        <w:snapToGrid w:val="0"/>
        <w:spacing w:line="360" w:lineRule="auto"/>
        <w:ind w:firstLine="539"/>
        <w:jc w:val="right"/>
      </w:pPr>
      <w:r>
        <w:rPr>
          <w:rFonts w:ascii="宋体" w:hAnsi="宋体" w:hint="eastAsia"/>
        </w:rPr>
        <w:t>202</w:t>
      </w:r>
      <w:r w:rsidR="009D2E6F">
        <w:rPr>
          <w:rFonts w:ascii="宋体" w:hAnsi="宋体"/>
        </w:rPr>
        <w:t>3</w:t>
      </w:r>
      <w:r>
        <w:rPr>
          <w:rFonts w:ascii="宋体" w:hAnsi="宋体" w:hint="eastAsia"/>
        </w:rPr>
        <w:t>年</w:t>
      </w:r>
      <w:r w:rsidR="009D2E6F">
        <w:rPr>
          <w:rFonts w:ascii="宋体" w:hAnsi="宋体"/>
        </w:rPr>
        <w:t>3</w:t>
      </w:r>
      <w:r>
        <w:rPr>
          <w:rFonts w:ascii="宋体" w:hAnsi="宋体" w:hint="eastAsia"/>
        </w:rPr>
        <w:t>月</w:t>
      </w:r>
      <w:r w:rsidR="009D2E6F">
        <w:rPr>
          <w:rFonts w:ascii="宋体" w:hAnsi="宋体"/>
        </w:rPr>
        <w:t>2</w:t>
      </w:r>
      <w:r w:rsidR="0021544E">
        <w:rPr>
          <w:rFonts w:ascii="宋体" w:hAnsi="宋体"/>
        </w:rPr>
        <w:t>5</w:t>
      </w:r>
      <w:r>
        <w:rPr>
          <w:rFonts w:ascii="宋体" w:hAnsi="宋体" w:hint="eastAsia"/>
        </w:rPr>
        <w:t>日</w:t>
      </w:r>
    </w:p>
    <w:p w14:paraId="4A7371A1" w14:textId="77777777" w:rsidR="00706097" w:rsidRDefault="00706097"/>
    <w:p w14:paraId="49DB1916" w14:textId="77777777" w:rsidR="00706097" w:rsidRDefault="00706097"/>
    <w:sectPr w:rsidR="00706097">
      <w:pgSz w:w="11906" w:h="16838"/>
      <w:pgMar w:top="1440" w:right="1800" w:bottom="1440" w:left="1800" w:header="851" w:footer="992" w:gutter="0"/>
      <w:pgNumType w:start="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C1F14D" w14:textId="77777777" w:rsidR="00174906" w:rsidRDefault="00174906">
      <w:r>
        <w:separator/>
      </w:r>
    </w:p>
  </w:endnote>
  <w:endnote w:type="continuationSeparator" w:id="0">
    <w:p w14:paraId="6B1059B8" w14:textId="77777777" w:rsidR="00174906" w:rsidRDefault="001749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default"/>
    <w:sig w:usb0="00000000" w:usb1="0000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FFFFFFFF" w:usb1="E9FFFFFF" w:usb2="0000003F" w:usb3="00000000" w:csb0="603F01FF" w:csb1="FFFF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黑体简体">
    <w:altName w:val="等线"/>
    <w:charset w:val="86"/>
    <w:family w:val="auto"/>
    <w:pitch w:val="default"/>
    <w:sig w:usb0="00000000" w:usb1="00000000" w:usb2="00000012" w:usb3="00000000" w:csb0="00040001" w:csb1="00000000"/>
  </w:font>
  <w:font w:name="五">
    <w:altName w:val="黑体"/>
    <w:charset w:val="86"/>
    <w:family w:val="auto"/>
    <w:pitch w:val="default"/>
    <w:sig w:usb0="00000000" w:usb1="00000000" w:usb2="00000010" w:usb3="00000000" w:csb0="00040000" w:csb1="00000000"/>
  </w:font>
  <w:font w:name="ˎ̥">
    <w:altName w:val="Segoe Print"/>
    <w:charset w:val="86"/>
    <w:family w:val="roman"/>
    <w:pitch w:val="default"/>
    <w:sig w:usb0="00000000" w:usb1="00000000" w:usb2="00000000" w:usb3="00000000" w:csb0="00040001" w:csb1="00000000"/>
  </w:font>
  <w:font w:name="Calibri">
    <w:panose1 w:val="020F0502020204030204"/>
    <w:charset w:val="00"/>
    <w:family w:val="swiss"/>
    <w:pitch w:val="variable"/>
    <w:sig w:usb0="E4002EFF" w:usb1="C000247B" w:usb2="00000009" w:usb3="00000000" w:csb0="000001FF" w:csb1="00000000"/>
  </w:font>
  <w:font w:name="方正黑体_GBK">
    <w:altName w:val="苹方-简"/>
    <w:charset w:val="86"/>
    <w:family w:val="script"/>
    <w:pitch w:val="fixed"/>
    <w:sig w:usb0="00000000" w:usb1="090E0000" w:usb2="00000010" w:usb3="00000000" w:csb0="003C0041" w:csb1="00000000"/>
  </w:font>
  <w:font w:name="方正楷体_GBK">
    <w:altName w:val="Malgun Gothic Semilight"/>
    <w:charset w:val="86"/>
    <w:family w:val="script"/>
    <w:pitch w:val="fixed"/>
    <w:sig w:usb0="00000000" w:usb1="090E0000" w:usb2="00000010" w:usb3="00000000" w:csb0="003C0041" w:csb1="00000000"/>
  </w:font>
  <w:font w:name="方正仿宋_GBK">
    <w:charset w:val="86"/>
    <w:family w:val="script"/>
    <w:pitch w:val="fixed"/>
    <w:sig w:usb0="00000000" w:usb1="090E0000" w:usb2="00000010" w:usb3="00000000" w:csb0="003C004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C0AC8" w14:textId="77777777" w:rsidR="00706097" w:rsidRDefault="00706097">
    <w:pPr>
      <w:pStyle w:val="afd"/>
      <w:jc w:val="center"/>
    </w:pPr>
  </w:p>
  <w:p w14:paraId="0EF69132" w14:textId="77777777" w:rsidR="00706097" w:rsidRDefault="00706097">
    <w:pPr>
      <w:pStyle w:val="afd"/>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35A1D" w14:textId="77777777" w:rsidR="00706097" w:rsidRDefault="00706097">
    <w:pPr>
      <w:pStyle w:val="afd"/>
      <w:jc w:val="center"/>
    </w:pPr>
  </w:p>
  <w:p w14:paraId="00A4DA7D" w14:textId="77777777" w:rsidR="00706097" w:rsidRDefault="00706097">
    <w:pPr>
      <w:pStyle w:val="afd"/>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3822AE" w14:textId="77777777" w:rsidR="00706097" w:rsidRDefault="00706097">
    <w:pPr>
      <w:pStyle w:val="af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FDAF38" w14:textId="77777777" w:rsidR="00174906" w:rsidRDefault="00174906">
      <w:r>
        <w:separator/>
      </w:r>
    </w:p>
  </w:footnote>
  <w:footnote w:type="continuationSeparator" w:id="0">
    <w:p w14:paraId="6ACE04D4" w14:textId="77777777" w:rsidR="00174906" w:rsidRDefault="0017490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BC33" w14:textId="77777777" w:rsidR="00706097" w:rsidRDefault="00DA6858">
    <w:pPr>
      <w:pBdr>
        <w:bottom w:val="single" w:sz="4" w:space="0" w:color="auto"/>
      </w:pBdr>
      <w:jc w:val="center"/>
      <w:rPr>
        <w:sz w:val="18"/>
        <w:szCs w:val="22"/>
      </w:rPr>
    </w:pPr>
    <w:r>
      <w:rPr>
        <w:rFonts w:hint="eastAsia"/>
        <w:sz w:val="18"/>
        <w:szCs w:val="22"/>
      </w:rPr>
      <w:t>东海</w:t>
    </w:r>
    <w:proofErr w:type="gramStart"/>
    <w:r>
      <w:rPr>
        <w:rFonts w:hint="eastAsia"/>
        <w:sz w:val="18"/>
        <w:szCs w:val="22"/>
      </w:rPr>
      <w:t>祥苏短</w:t>
    </w:r>
    <w:proofErr w:type="gramEnd"/>
    <w:r>
      <w:rPr>
        <w:rFonts w:hint="eastAsia"/>
        <w:sz w:val="18"/>
        <w:szCs w:val="22"/>
      </w:rPr>
      <w:t>债债券型证券投资基金</w:t>
    </w:r>
    <w:r>
      <w:rPr>
        <w:rFonts w:hint="eastAsia"/>
        <w:sz w:val="18"/>
        <w:szCs w:val="22"/>
      </w:rPr>
      <w:t xml:space="preserve">                                            </w:t>
    </w:r>
    <w:r>
      <w:rPr>
        <w:rFonts w:hint="eastAsia"/>
        <w:sz w:val="18"/>
        <w:szCs w:val="22"/>
      </w:rPr>
      <w:t>招募说明书（更新）</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76F374" w14:textId="77777777" w:rsidR="00706097" w:rsidRDefault="00DA6858">
    <w:pPr>
      <w:pBdr>
        <w:bottom w:val="single" w:sz="4" w:space="0" w:color="auto"/>
      </w:pBdr>
      <w:jc w:val="center"/>
    </w:pPr>
    <w:r>
      <w:rPr>
        <w:rFonts w:hint="eastAsia"/>
        <w:sz w:val="18"/>
        <w:szCs w:val="22"/>
      </w:rPr>
      <w:t>东海</w:t>
    </w:r>
    <w:proofErr w:type="gramStart"/>
    <w:r>
      <w:rPr>
        <w:rFonts w:hint="eastAsia"/>
        <w:sz w:val="18"/>
        <w:szCs w:val="22"/>
      </w:rPr>
      <w:t>祥苏短</w:t>
    </w:r>
    <w:proofErr w:type="gramEnd"/>
    <w:r>
      <w:rPr>
        <w:rFonts w:hint="eastAsia"/>
        <w:sz w:val="18"/>
        <w:szCs w:val="22"/>
      </w:rPr>
      <w:t>债债券型证券投资基金</w:t>
    </w:r>
    <w:r>
      <w:rPr>
        <w:rFonts w:hint="eastAsia"/>
        <w:sz w:val="18"/>
        <w:szCs w:val="22"/>
      </w:rPr>
      <w:t xml:space="preserve">                                            </w:t>
    </w:r>
    <w:r>
      <w:rPr>
        <w:rFonts w:hint="eastAsia"/>
        <w:sz w:val="18"/>
        <w:szCs w:val="22"/>
      </w:rPr>
      <w:t>招募说明书（更新）</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1" w15:restartNumberingAfterBreak="0">
    <w:nsid w:val="044209E7"/>
    <w:multiLevelType w:val="multilevel"/>
    <w:tmpl w:val="044209E7"/>
    <w:lvl w:ilvl="0">
      <w:start w:val="1"/>
      <w:numFmt w:val="decimal"/>
      <w:pStyle w:val="AOAppHead"/>
      <w:suff w:val="nothing"/>
      <w:lvlText w:val="Appendix %1"/>
      <w:lvlJc w:val="left"/>
      <w:pPr>
        <w:ind w:left="0" w:firstLine="0"/>
      </w:pPr>
      <w:rPr>
        <w:b/>
        <w:i w:val="0"/>
      </w:rPr>
    </w:lvl>
    <w:lvl w:ilvl="1">
      <w:start w:val="1"/>
      <w:numFmt w:val="decimal"/>
      <w:pStyle w:val="AOApp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 w15:restartNumberingAfterBreak="0">
    <w:nsid w:val="073F5C70"/>
    <w:multiLevelType w:val="singleLevel"/>
    <w:tmpl w:val="073F5C70"/>
    <w:lvl w:ilvl="0">
      <w:start w:val="6"/>
      <w:numFmt w:val="decimal"/>
      <w:suff w:val="nothing"/>
      <w:lvlText w:val="%1、"/>
      <w:lvlJc w:val="left"/>
    </w:lvl>
  </w:abstractNum>
  <w:abstractNum w:abstractNumId="3" w15:restartNumberingAfterBreak="0">
    <w:nsid w:val="096C2ACA"/>
    <w:multiLevelType w:val="singleLevel"/>
    <w:tmpl w:val="096C2ACA"/>
    <w:lvl w:ilvl="0">
      <w:start w:val="2"/>
      <w:numFmt w:val="japaneseCounting"/>
      <w:pStyle w:val="ParaChar"/>
      <w:lvlText w:val="（%1）"/>
      <w:lvlJc w:val="left"/>
      <w:pPr>
        <w:tabs>
          <w:tab w:val="left" w:pos="870"/>
        </w:tabs>
        <w:ind w:left="870" w:hanging="870"/>
      </w:pPr>
    </w:lvl>
  </w:abstractNum>
  <w:abstractNum w:abstractNumId="4" w15:restartNumberingAfterBreak="0">
    <w:nsid w:val="0B101077"/>
    <w:multiLevelType w:val="singleLevel"/>
    <w:tmpl w:val="0B101077"/>
    <w:lvl w:ilvl="0">
      <w:start w:val="1"/>
      <w:numFmt w:val="decimal"/>
      <w:pStyle w:val="a"/>
      <w:lvlText w:val="%1)"/>
      <w:lvlJc w:val="left"/>
      <w:pPr>
        <w:tabs>
          <w:tab w:val="left" w:pos="720"/>
        </w:tabs>
        <w:ind w:left="720" w:hanging="360"/>
      </w:pPr>
    </w:lvl>
  </w:abstractNum>
  <w:abstractNum w:abstractNumId="5" w15:restartNumberingAfterBreak="0">
    <w:nsid w:val="10F37ADE"/>
    <w:multiLevelType w:val="multilevel"/>
    <w:tmpl w:val="10F37ADE"/>
    <w:lvl w:ilvl="0">
      <w:start w:val="1"/>
      <w:numFmt w:val="decimal"/>
      <w:pStyle w:val="AOListNumber"/>
      <w:lvlText w:val="%1."/>
      <w:lvlJc w:val="left"/>
      <w:pPr>
        <w:tabs>
          <w:tab w:val="left" w:pos="720"/>
        </w:tabs>
        <w:ind w:left="720" w:hanging="720"/>
      </w:pPr>
    </w:lvl>
    <w:lvl w:ilvl="1">
      <w:start w:val="1"/>
      <w:numFmt w:val="lowerLetter"/>
      <w:lvlText w:val="(%2)"/>
      <w:lvlJc w:val="left"/>
      <w:pPr>
        <w:tabs>
          <w:tab w:val="left" w:pos="720"/>
        </w:tabs>
        <w:ind w:left="720" w:hanging="720"/>
      </w:pPr>
    </w:lvl>
    <w:lvl w:ilvl="2">
      <w:start w:val="1"/>
      <w:numFmt w:val="lowerRoman"/>
      <w:lvlText w:val="(%3)"/>
      <w:lvlJc w:val="left"/>
      <w:pPr>
        <w:tabs>
          <w:tab w:val="left" w:pos="1440"/>
        </w:tabs>
        <w:ind w:left="1440" w:hanging="720"/>
      </w:pPr>
    </w:lvl>
    <w:lvl w:ilvl="3">
      <w:start w:val="1"/>
      <w:numFmt w:val="upperLetter"/>
      <w:lvlText w:val="(%4)"/>
      <w:lvlJc w:val="left"/>
      <w:pPr>
        <w:tabs>
          <w:tab w:val="left" w:pos="2160"/>
        </w:tabs>
        <w:ind w:left="2160" w:hanging="720"/>
      </w:pPr>
    </w:lvl>
    <w:lvl w:ilvl="4">
      <w:start w:val="1"/>
      <w:numFmt w:val="upperRoman"/>
      <w:lvlText w:val="%5."/>
      <w:lvlJc w:val="left"/>
      <w:pPr>
        <w:tabs>
          <w:tab w:val="left" w:pos="2880"/>
        </w:tabs>
        <w:ind w:left="2880" w:hanging="720"/>
      </w:pPr>
    </w:lvl>
    <w:lvl w:ilvl="5">
      <w:start w:val="1"/>
      <w:numFmt w:val="lowerLetter"/>
      <w:lvlText w:val="(%6)"/>
      <w:lvlJc w:val="left"/>
      <w:pPr>
        <w:tabs>
          <w:tab w:val="left" w:pos="1440"/>
        </w:tabs>
        <w:ind w:left="1440" w:hanging="720"/>
      </w:pPr>
    </w:lvl>
    <w:lvl w:ilvl="6">
      <w:start w:val="1"/>
      <w:numFmt w:val="lowerRoman"/>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6" w15:restartNumberingAfterBreak="0">
    <w:nsid w:val="13B718D4"/>
    <w:multiLevelType w:val="multilevel"/>
    <w:tmpl w:val="13B718D4"/>
    <w:lvl w:ilvl="0">
      <w:start w:val="1"/>
      <w:numFmt w:val="decimal"/>
      <w:pStyle w:val="2"/>
      <w:lvlText w:val="（%1）"/>
      <w:lvlJc w:val="center"/>
      <w:pPr>
        <w:tabs>
          <w:tab w:val="left" w:pos="648"/>
        </w:tabs>
        <w:ind w:left="0" w:firstLine="288"/>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1A4038FD"/>
    <w:multiLevelType w:val="multilevel"/>
    <w:tmpl w:val="1A4038FD"/>
    <w:lvl w:ilvl="0">
      <w:start w:val="1"/>
      <w:numFmt w:val="japaneseCounting"/>
      <w:pStyle w:val="211"/>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B0661F6"/>
    <w:multiLevelType w:val="singleLevel"/>
    <w:tmpl w:val="1B0661F6"/>
    <w:lvl w:ilvl="0">
      <w:start w:val="1"/>
      <w:numFmt w:val="bullet"/>
      <w:pStyle w:val="AOBullet2"/>
      <w:lvlText w:val=""/>
      <w:lvlJc w:val="left"/>
      <w:pPr>
        <w:tabs>
          <w:tab w:val="left" w:pos="720"/>
        </w:tabs>
        <w:ind w:left="720" w:hanging="720"/>
      </w:pPr>
      <w:rPr>
        <w:rFonts w:ascii="Symbol" w:hAnsi="Symbol" w:hint="default"/>
      </w:rPr>
    </w:lvl>
  </w:abstractNum>
  <w:abstractNum w:abstractNumId="9" w15:restartNumberingAfterBreak="0">
    <w:nsid w:val="239E2F0F"/>
    <w:multiLevelType w:val="multilevel"/>
    <w:tmpl w:val="239E2F0F"/>
    <w:lvl w:ilvl="0">
      <w:start w:val="1"/>
      <w:numFmt w:val="chineseCountingThousand"/>
      <w:suff w:val="space"/>
      <w:lvlText w:val="%1、"/>
      <w:lvlJc w:val="left"/>
      <w:pPr>
        <w:ind w:left="0" w:firstLine="0"/>
      </w:pPr>
      <w:rPr>
        <w:rFonts w:hint="eastAsia"/>
      </w:rPr>
    </w:lvl>
    <w:lvl w:ilvl="1">
      <w:start w:val="1"/>
      <w:numFmt w:val="chineseCountingThousand"/>
      <w:pStyle w:val="2111111"/>
      <w:suff w:val="nothing"/>
      <w:lvlText w:val="%2、"/>
      <w:lvlJc w:val="left"/>
      <w:pPr>
        <w:ind w:left="0" w:firstLine="0"/>
      </w:pPr>
      <w:rPr>
        <w:rFonts w:hint="eastAsia"/>
      </w:rPr>
    </w:lvl>
    <w:lvl w:ilvl="2">
      <w:start w:val="1"/>
      <w:numFmt w:val="decimal"/>
      <w:suff w:val="space"/>
      <w:lvlText w:val="%3."/>
      <w:lvlJc w:val="left"/>
      <w:pPr>
        <w:ind w:left="0" w:firstLine="0"/>
      </w:pPr>
      <w:rPr>
        <w:rFonts w:hint="eastAsia"/>
      </w:rPr>
    </w:lvl>
    <w:lvl w:ilvl="3">
      <w:start w:val="1"/>
      <w:numFmt w:val="none"/>
      <w:suff w:val="nothing"/>
      <w:lvlText w:val=""/>
      <w:lvlJc w:val="left"/>
      <w:pPr>
        <w:ind w:left="851" w:firstLine="0"/>
      </w:pPr>
      <w:rPr>
        <w:rFonts w:hint="eastAsia"/>
      </w:rPr>
    </w:lvl>
    <w:lvl w:ilvl="4">
      <w:start w:val="1"/>
      <w:numFmt w:val="none"/>
      <w:suff w:val="nothing"/>
      <w:lvlText w:val=""/>
      <w:lvlJc w:val="left"/>
      <w:pPr>
        <w:ind w:left="851" w:firstLine="0"/>
      </w:pPr>
      <w:rPr>
        <w:rFonts w:hint="eastAsia"/>
      </w:rPr>
    </w:lvl>
    <w:lvl w:ilvl="5">
      <w:start w:val="1"/>
      <w:numFmt w:val="none"/>
      <w:suff w:val="nothing"/>
      <w:lvlText w:val=""/>
      <w:lvlJc w:val="left"/>
      <w:pPr>
        <w:ind w:left="851" w:firstLine="0"/>
      </w:pPr>
      <w:rPr>
        <w:rFonts w:hint="eastAsia"/>
      </w:rPr>
    </w:lvl>
    <w:lvl w:ilvl="6">
      <w:start w:val="1"/>
      <w:numFmt w:val="none"/>
      <w:suff w:val="nothing"/>
      <w:lvlText w:val=""/>
      <w:lvlJc w:val="left"/>
      <w:pPr>
        <w:ind w:left="851" w:firstLine="0"/>
      </w:pPr>
      <w:rPr>
        <w:rFonts w:hint="eastAsia"/>
      </w:rPr>
    </w:lvl>
    <w:lvl w:ilvl="7">
      <w:start w:val="1"/>
      <w:numFmt w:val="none"/>
      <w:suff w:val="nothing"/>
      <w:lvlText w:val=""/>
      <w:lvlJc w:val="left"/>
      <w:pPr>
        <w:ind w:left="851" w:firstLine="0"/>
      </w:pPr>
      <w:rPr>
        <w:rFonts w:hint="eastAsia"/>
      </w:rPr>
    </w:lvl>
    <w:lvl w:ilvl="8">
      <w:start w:val="1"/>
      <w:numFmt w:val="none"/>
      <w:suff w:val="nothing"/>
      <w:lvlText w:val=""/>
      <w:lvlJc w:val="left"/>
      <w:pPr>
        <w:ind w:left="851" w:firstLine="0"/>
      </w:pPr>
      <w:rPr>
        <w:rFonts w:hint="eastAsia"/>
      </w:rPr>
    </w:lvl>
  </w:abstractNum>
  <w:abstractNum w:abstractNumId="10" w15:restartNumberingAfterBreak="0">
    <w:nsid w:val="31FA6DE9"/>
    <w:multiLevelType w:val="singleLevel"/>
    <w:tmpl w:val="31FA6DE9"/>
    <w:lvl w:ilvl="0">
      <w:start w:val="1"/>
      <w:numFmt w:val="bullet"/>
      <w:pStyle w:val="AOBullet"/>
      <w:lvlText w:val=""/>
      <w:lvlJc w:val="left"/>
      <w:pPr>
        <w:tabs>
          <w:tab w:val="left" w:pos="720"/>
        </w:tabs>
        <w:ind w:left="720" w:hanging="720"/>
      </w:pPr>
      <w:rPr>
        <w:rFonts w:ascii="Symbol" w:hAnsi="Symbol" w:hint="default"/>
      </w:rPr>
    </w:lvl>
  </w:abstractNum>
  <w:abstractNum w:abstractNumId="11"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abstractNum w:abstractNumId="12" w15:restartNumberingAfterBreak="0">
    <w:nsid w:val="36063A36"/>
    <w:multiLevelType w:val="singleLevel"/>
    <w:tmpl w:val="36063A36"/>
    <w:lvl w:ilvl="0">
      <w:start w:val="1"/>
      <w:numFmt w:val="bullet"/>
      <w:pStyle w:val="a0"/>
      <w:lvlText w:val=""/>
      <w:lvlJc w:val="left"/>
      <w:pPr>
        <w:tabs>
          <w:tab w:val="left" w:pos="720"/>
        </w:tabs>
        <w:ind w:left="720" w:hanging="360"/>
      </w:pPr>
      <w:rPr>
        <w:rFonts w:ascii="Wingdings" w:hAnsi="Wingdings" w:hint="default"/>
      </w:rPr>
    </w:lvl>
  </w:abstractNum>
  <w:abstractNum w:abstractNumId="13" w15:restartNumberingAfterBreak="0">
    <w:nsid w:val="38014636"/>
    <w:multiLevelType w:val="multilevel"/>
    <w:tmpl w:val="38014636"/>
    <w:lvl w:ilvl="0">
      <w:start w:val="1"/>
      <w:numFmt w:val="chineseCountingThousand"/>
      <w:lvlText w:val="第%1部分"/>
      <w:lvlJc w:val="left"/>
      <w:pPr>
        <w:tabs>
          <w:tab w:val="left" w:pos="420"/>
        </w:tabs>
        <w:ind w:left="420" w:hanging="420"/>
      </w:pPr>
      <w:rPr>
        <w:rFonts w:hint="default"/>
        <w:sz w:val="32"/>
        <w:szCs w:val="32"/>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3D0E7D39"/>
    <w:multiLevelType w:val="multilevel"/>
    <w:tmpl w:val="3D0E7D39"/>
    <w:lvl w:ilvl="0">
      <w:start w:val="1"/>
      <w:numFmt w:val="decimal"/>
      <w:pStyle w:val="AOSchHead"/>
      <w:suff w:val="nothing"/>
      <w:lvlText w:val="Schedule %1"/>
      <w:lvlJc w:val="left"/>
      <w:pPr>
        <w:ind w:left="0" w:firstLine="0"/>
      </w:pPr>
      <w:rPr>
        <w:b/>
        <w:i w:val="0"/>
      </w:rPr>
    </w:lvl>
    <w:lvl w:ilvl="1">
      <w:start w:val="1"/>
      <w:numFmt w:val="decimal"/>
      <w:pStyle w:val="AOSch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15" w15:restartNumberingAfterBreak="0">
    <w:nsid w:val="3DAC2829"/>
    <w:multiLevelType w:val="singleLevel"/>
    <w:tmpl w:val="3DAC2829"/>
    <w:lvl w:ilvl="0">
      <w:start w:val="1"/>
      <w:numFmt w:val="decimal"/>
      <w:pStyle w:val="20"/>
      <w:lvlText w:val="(%1)"/>
      <w:lvlJc w:val="left"/>
      <w:pPr>
        <w:tabs>
          <w:tab w:val="left" w:pos="907"/>
        </w:tabs>
        <w:ind w:left="907" w:hanging="482"/>
      </w:pPr>
    </w:lvl>
  </w:abstractNum>
  <w:abstractNum w:abstractNumId="16" w15:restartNumberingAfterBreak="0">
    <w:nsid w:val="3E29759A"/>
    <w:multiLevelType w:val="multilevel"/>
    <w:tmpl w:val="3E29759A"/>
    <w:lvl w:ilvl="0">
      <w:start w:val="1"/>
      <w:numFmt w:val="decimal"/>
      <w:pStyle w:val="AOGenNum2"/>
      <w:lvlText w:val="%1."/>
      <w:lvlJc w:val="left"/>
      <w:pPr>
        <w:tabs>
          <w:tab w:val="left" w:pos="720"/>
        </w:tabs>
        <w:ind w:left="720" w:hanging="720"/>
      </w:pPr>
    </w:lvl>
    <w:lvl w:ilvl="1">
      <w:start w:val="1"/>
      <w:numFmt w:val="decimal"/>
      <w:pStyle w:val="AOGenNum2Para"/>
      <w:lvlText w:val="%1.%2"/>
      <w:lvlJc w:val="left"/>
      <w:pPr>
        <w:tabs>
          <w:tab w:val="left" w:pos="720"/>
        </w:tabs>
        <w:ind w:left="720" w:hanging="720"/>
      </w:pPr>
    </w:lvl>
    <w:lvl w:ilvl="2">
      <w:start w:val="1"/>
      <w:numFmt w:val="lowerLetter"/>
      <w:pStyle w:val="AOGenNum2List"/>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17" w15:restartNumberingAfterBreak="0">
    <w:nsid w:val="41F230E7"/>
    <w:multiLevelType w:val="singleLevel"/>
    <w:tmpl w:val="41F230E7"/>
    <w:lvl w:ilvl="0">
      <w:start w:val="1"/>
      <w:numFmt w:val="bullet"/>
      <w:pStyle w:val="AOBullet4"/>
      <w:lvlText w:val=""/>
      <w:lvlJc w:val="left"/>
      <w:pPr>
        <w:tabs>
          <w:tab w:val="left" w:pos="720"/>
        </w:tabs>
        <w:ind w:left="720" w:hanging="720"/>
      </w:pPr>
      <w:rPr>
        <w:rFonts w:ascii="Wingdings" w:hAnsi="Wingdings" w:hint="default"/>
      </w:rPr>
    </w:lvl>
  </w:abstractNum>
  <w:abstractNum w:abstractNumId="18" w15:restartNumberingAfterBreak="0">
    <w:nsid w:val="475B3203"/>
    <w:multiLevelType w:val="multilevel"/>
    <w:tmpl w:val="475B3203"/>
    <w:lvl w:ilvl="0">
      <w:start w:val="1"/>
      <w:numFmt w:val="none"/>
      <w:pStyle w:val="AODocTxt"/>
      <w:suff w:val="nothing"/>
      <w:lvlText w:val=""/>
      <w:lvlJc w:val="left"/>
      <w:pPr>
        <w:ind w:left="1260" w:firstLine="0"/>
      </w:pPr>
    </w:lvl>
    <w:lvl w:ilvl="1">
      <w:start w:val="1"/>
      <w:numFmt w:val="none"/>
      <w:pStyle w:val="AODocTxtL1"/>
      <w:suff w:val="nothing"/>
      <w:lvlText w:val=""/>
      <w:lvlJc w:val="left"/>
      <w:pPr>
        <w:ind w:left="1980" w:firstLine="0"/>
      </w:pPr>
    </w:lvl>
    <w:lvl w:ilvl="2">
      <w:start w:val="1"/>
      <w:numFmt w:val="none"/>
      <w:pStyle w:val="AODocTxtL2"/>
      <w:suff w:val="nothing"/>
      <w:lvlText w:val=""/>
      <w:lvlJc w:val="left"/>
      <w:pPr>
        <w:ind w:left="2700" w:firstLine="0"/>
      </w:pPr>
    </w:lvl>
    <w:lvl w:ilvl="3">
      <w:start w:val="1"/>
      <w:numFmt w:val="none"/>
      <w:pStyle w:val="AODocTxtL3"/>
      <w:suff w:val="nothing"/>
      <w:lvlText w:val=""/>
      <w:lvlJc w:val="left"/>
      <w:pPr>
        <w:ind w:left="3420" w:firstLine="0"/>
      </w:pPr>
    </w:lvl>
    <w:lvl w:ilvl="4">
      <w:start w:val="1"/>
      <w:numFmt w:val="none"/>
      <w:pStyle w:val="AODocTxtL4"/>
      <w:suff w:val="nothing"/>
      <w:lvlText w:val=""/>
      <w:lvlJc w:val="left"/>
      <w:pPr>
        <w:ind w:left="4140" w:firstLine="0"/>
      </w:pPr>
    </w:lvl>
    <w:lvl w:ilvl="5">
      <w:start w:val="1"/>
      <w:numFmt w:val="none"/>
      <w:pStyle w:val="AODocTxtL5"/>
      <w:suff w:val="nothing"/>
      <w:lvlText w:val=""/>
      <w:lvlJc w:val="left"/>
      <w:pPr>
        <w:ind w:left="4860" w:firstLine="0"/>
      </w:pPr>
    </w:lvl>
    <w:lvl w:ilvl="6">
      <w:start w:val="1"/>
      <w:numFmt w:val="none"/>
      <w:pStyle w:val="AODocTxtL6"/>
      <w:suff w:val="nothing"/>
      <w:lvlText w:val=""/>
      <w:lvlJc w:val="left"/>
      <w:pPr>
        <w:ind w:left="5580" w:firstLine="0"/>
      </w:pPr>
    </w:lvl>
    <w:lvl w:ilvl="7">
      <w:start w:val="1"/>
      <w:numFmt w:val="none"/>
      <w:pStyle w:val="AODocTxtL7"/>
      <w:suff w:val="nothing"/>
      <w:lvlText w:val=""/>
      <w:lvlJc w:val="left"/>
      <w:pPr>
        <w:ind w:left="6300" w:firstLine="0"/>
      </w:pPr>
    </w:lvl>
    <w:lvl w:ilvl="8">
      <w:start w:val="1"/>
      <w:numFmt w:val="none"/>
      <w:pStyle w:val="AODocTxtL8"/>
      <w:suff w:val="nothing"/>
      <w:lvlText w:val=""/>
      <w:lvlJc w:val="left"/>
      <w:pPr>
        <w:ind w:left="7020" w:firstLine="0"/>
      </w:pPr>
    </w:lvl>
  </w:abstractNum>
  <w:abstractNum w:abstractNumId="19" w15:restartNumberingAfterBreak="0">
    <w:nsid w:val="47B238E7"/>
    <w:multiLevelType w:val="multilevel"/>
    <w:tmpl w:val="47B238E7"/>
    <w:lvl w:ilvl="0">
      <w:start w:val="1"/>
      <w:numFmt w:val="decimal"/>
      <w:pStyle w:val="AOGenNum3"/>
      <w:lvlText w:val="%1."/>
      <w:lvlJc w:val="left"/>
      <w:pPr>
        <w:tabs>
          <w:tab w:val="left" w:pos="720"/>
        </w:tabs>
        <w:ind w:left="720" w:hanging="720"/>
      </w:pPr>
    </w:lvl>
    <w:lvl w:ilvl="1">
      <w:start w:val="1"/>
      <w:numFmt w:val="decimal"/>
      <w:pStyle w:val="AOGenNum3List"/>
      <w:lvlText w:val="%1.%2"/>
      <w:lvlJc w:val="left"/>
      <w:pPr>
        <w:tabs>
          <w:tab w:val="left" w:pos="720"/>
        </w:tabs>
        <w:ind w:left="720" w:hanging="720"/>
      </w:pPr>
    </w:lvl>
    <w:lvl w:ilvl="2">
      <w:start w:val="1"/>
      <w:numFmt w:val="lowerLetter"/>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abstractNum w:abstractNumId="20" w15:restartNumberingAfterBreak="0">
    <w:nsid w:val="49C66851"/>
    <w:multiLevelType w:val="multilevel"/>
    <w:tmpl w:val="49C66851"/>
    <w:lvl w:ilvl="0">
      <w:start w:val="1"/>
      <w:numFmt w:val="decimal"/>
      <w:pStyle w:val="AOAnxHead"/>
      <w:suff w:val="nothing"/>
      <w:lvlText w:val="Annex %1"/>
      <w:lvlJc w:val="left"/>
      <w:pPr>
        <w:ind w:left="0" w:firstLine="0"/>
      </w:pPr>
      <w:rPr>
        <w:b/>
        <w:i w:val="0"/>
      </w:rPr>
    </w:lvl>
    <w:lvl w:ilvl="1">
      <w:start w:val="1"/>
      <w:numFmt w:val="decimal"/>
      <w:pStyle w:val="AOAnxPartHead"/>
      <w:suff w:val="nothing"/>
      <w:lvlText w:val="Part %2"/>
      <w:lvlJc w:val="left"/>
      <w:pPr>
        <w:ind w:left="0" w:firstLine="0"/>
      </w:pPr>
      <w:rPr>
        <w:b/>
        <w:i w:val="0"/>
      </w:r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1" w15:restartNumberingAfterBreak="0">
    <w:nsid w:val="4B0ADB28"/>
    <w:multiLevelType w:val="singleLevel"/>
    <w:tmpl w:val="4B0ADB28"/>
    <w:lvl w:ilvl="0">
      <w:start w:val="2"/>
      <w:numFmt w:val="chineseCounting"/>
      <w:suff w:val="nothing"/>
      <w:lvlText w:val="%1、"/>
      <w:lvlJc w:val="left"/>
      <w:pPr>
        <w:ind w:left="421" w:firstLine="0"/>
      </w:pPr>
      <w:rPr>
        <w:rFonts w:hint="eastAsia"/>
      </w:rPr>
    </w:lvl>
  </w:abstractNum>
  <w:abstractNum w:abstractNumId="22" w15:restartNumberingAfterBreak="0">
    <w:nsid w:val="4CFE7B09"/>
    <w:multiLevelType w:val="multilevel"/>
    <w:tmpl w:val="4CFE7B09"/>
    <w:lvl w:ilvl="0">
      <w:start w:val="1"/>
      <w:numFmt w:val="decimal"/>
      <w:pStyle w:val="AO1"/>
      <w:lvlText w:val="(%1)"/>
      <w:lvlJc w:val="left"/>
      <w:pPr>
        <w:tabs>
          <w:tab w:val="left"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3" w15:restartNumberingAfterBreak="0">
    <w:nsid w:val="4E4B4E3E"/>
    <w:multiLevelType w:val="multilevel"/>
    <w:tmpl w:val="4E4B4E3E"/>
    <w:lvl w:ilvl="0">
      <w:start w:val="1"/>
      <w:numFmt w:val="decimal"/>
      <w:pStyle w:val="AOHead1"/>
      <w:lvlText w:val="%1."/>
      <w:lvlJc w:val="left"/>
      <w:pPr>
        <w:tabs>
          <w:tab w:val="left" w:pos="720"/>
        </w:tabs>
        <w:ind w:left="720" w:hanging="720"/>
      </w:pPr>
    </w:lvl>
    <w:lvl w:ilvl="1">
      <w:start w:val="1"/>
      <w:numFmt w:val="decimal"/>
      <w:pStyle w:val="AOHead2"/>
      <w:lvlText w:val="%1.%2"/>
      <w:lvlJc w:val="left"/>
      <w:pPr>
        <w:tabs>
          <w:tab w:val="left" w:pos="720"/>
        </w:tabs>
        <w:ind w:left="720" w:hanging="720"/>
      </w:pPr>
    </w:lvl>
    <w:lvl w:ilvl="2">
      <w:start w:val="1"/>
      <w:numFmt w:val="lowerLetter"/>
      <w:pStyle w:val="AOHead3"/>
      <w:lvlText w:val="(%3)"/>
      <w:lvlJc w:val="left"/>
      <w:pPr>
        <w:tabs>
          <w:tab w:val="left" w:pos="1440"/>
        </w:tabs>
        <w:ind w:left="1440" w:hanging="720"/>
      </w:pPr>
    </w:lvl>
    <w:lvl w:ilvl="3">
      <w:start w:val="1"/>
      <w:numFmt w:val="lowerRoman"/>
      <w:pStyle w:val="AOHead4"/>
      <w:lvlText w:val="(%4)"/>
      <w:lvlJc w:val="left"/>
      <w:pPr>
        <w:tabs>
          <w:tab w:val="left" w:pos="2160"/>
        </w:tabs>
        <w:ind w:left="2160" w:hanging="720"/>
      </w:pPr>
    </w:lvl>
    <w:lvl w:ilvl="4">
      <w:start w:val="1"/>
      <w:numFmt w:val="upperLetter"/>
      <w:pStyle w:val="AOHead5"/>
      <w:lvlText w:val="(%5)"/>
      <w:lvlJc w:val="left"/>
      <w:pPr>
        <w:tabs>
          <w:tab w:val="left" w:pos="2880"/>
        </w:tabs>
        <w:ind w:left="2880" w:hanging="720"/>
      </w:pPr>
    </w:lvl>
    <w:lvl w:ilvl="5">
      <w:start w:val="1"/>
      <w:numFmt w:val="upperRoman"/>
      <w:pStyle w:val="AOHead6"/>
      <w:lvlText w:val="%6."/>
      <w:lvlJc w:val="left"/>
      <w:pPr>
        <w:tabs>
          <w:tab w:val="left"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4" w15:restartNumberingAfterBreak="0">
    <w:nsid w:val="547D73EE"/>
    <w:multiLevelType w:val="multilevel"/>
    <w:tmpl w:val="547D73EE"/>
    <w:lvl w:ilvl="0">
      <w:start w:val="1"/>
      <w:numFmt w:val="decimal"/>
      <w:pStyle w:val="XBRLTitle1"/>
      <w:suff w:val="space"/>
      <w:lvlText w:val="§%1"/>
      <w:lvlJc w:val="left"/>
      <w:pPr>
        <w:ind w:left="425" w:hanging="425"/>
      </w:pPr>
      <w:rPr>
        <w:rFonts w:hint="eastAsia"/>
      </w:rPr>
    </w:lvl>
    <w:lvl w:ilvl="1">
      <w:start w:val="1"/>
      <w:numFmt w:val="decimal"/>
      <w:pStyle w:val="XBRLTitle2"/>
      <w:suff w:val="space"/>
      <w:lvlText w:val="%1.%2"/>
      <w:lvlJc w:val="left"/>
      <w:pPr>
        <w:ind w:left="454" w:hanging="454"/>
      </w:pPr>
      <w:rPr>
        <w:rFonts w:hint="eastAsia"/>
        <w:sz w:val="21"/>
        <w:szCs w:val="21"/>
      </w:rPr>
    </w:lvl>
    <w:lvl w:ilvl="2">
      <w:start w:val="1"/>
      <w:numFmt w:val="decimal"/>
      <w:pStyle w:val="XBRLTitle3"/>
      <w:suff w:val="space"/>
      <w:lvlText w:val="%1.%2.%3"/>
      <w:lvlJc w:val="left"/>
      <w:pPr>
        <w:ind w:left="1050" w:hanging="62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3">
      <w:start w:val="1"/>
      <w:numFmt w:val="decimal"/>
      <w:pStyle w:val="XBRLTitle4"/>
      <w:suff w:val="space"/>
      <w:lvlText w:val="%1.%2.%3.%4"/>
      <w:lvlJc w:val="left"/>
      <w:pPr>
        <w:ind w:left="794" w:hanging="794"/>
      </w:pPr>
      <w:rPr>
        <w:rFonts w:hint="eastAsia"/>
      </w:rPr>
    </w:lvl>
    <w:lvl w:ilvl="4">
      <w:start w:val="1"/>
      <w:numFmt w:val="decimal"/>
      <w:pStyle w:val="XBRLTitle5"/>
      <w:suff w:val="space"/>
      <w:lvlText w:val="%1.%2.%3.%4.%5"/>
      <w:lvlJc w:val="left"/>
      <w:pPr>
        <w:ind w:left="1021" w:hanging="1021"/>
      </w:pPr>
      <w:rPr>
        <w:rFonts w:hint="eastAsia"/>
      </w:rPr>
    </w:lvl>
    <w:lvl w:ilvl="5">
      <w:start w:val="1"/>
      <w:numFmt w:val="decimal"/>
      <w:pStyle w:val="XBRLTitle6"/>
      <w:suff w:val="space"/>
      <w:lvlText w:val="%1.%2.%3.%4.%5.%6"/>
      <w:lvlJc w:val="left"/>
      <w:pPr>
        <w:ind w:left="1021" w:hanging="1021"/>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62830D10"/>
    <w:multiLevelType w:val="multilevel"/>
    <w:tmpl w:val="62830D10"/>
    <w:lvl w:ilvl="0">
      <w:start w:val="1"/>
      <w:numFmt w:val="upperLetter"/>
      <w:pStyle w:val="AOA"/>
      <w:lvlText w:val="(%1)"/>
      <w:lvlJc w:val="left"/>
      <w:pPr>
        <w:tabs>
          <w:tab w:val="left" w:pos="720"/>
        </w:tabs>
        <w:ind w:left="720" w:hanging="720"/>
      </w:pPr>
    </w:lvl>
    <w:lvl w:ilvl="1">
      <w:start w:val="1"/>
      <w:numFmt w:val="none"/>
      <w:lvlRestart w:val="0"/>
      <w:suff w:val="nothing"/>
      <w:lvlText w:val=""/>
      <w:lvlJc w:val="left"/>
      <w:pPr>
        <w:ind w:left="0" w:firstLine="0"/>
      </w:pPr>
    </w:lvl>
    <w:lvl w:ilvl="2">
      <w:start w:val="1"/>
      <w:numFmt w:val="none"/>
      <w:lvlRestart w:val="0"/>
      <w:suff w:val="nothing"/>
      <w:lvlText w:val=""/>
      <w:lvlJc w:val="left"/>
      <w:pPr>
        <w:ind w:left="0" w:firstLine="0"/>
      </w:pPr>
    </w:lvl>
    <w:lvl w:ilvl="3">
      <w:start w:val="1"/>
      <w:numFmt w:val="none"/>
      <w:lvlRestart w:val="0"/>
      <w:suff w:val="nothing"/>
      <w:lvlText w:val=""/>
      <w:lvlJc w:val="left"/>
      <w:pPr>
        <w:ind w:left="0" w:firstLine="0"/>
      </w:pPr>
    </w:lvl>
    <w:lvl w:ilvl="4">
      <w:start w:val="1"/>
      <w:numFmt w:val="none"/>
      <w:lvlRestart w:val="0"/>
      <w:suff w:val="nothing"/>
      <w:lvlText w:val=""/>
      <w:lvlJc w:val="left"/>
      <w:pPr>
        <w:ind w:left="0" w:firstLine="0"/>
      </w:pPr>
    </w:lvl>
    <w:lvl w:ilvl="5">
      <w:start w:val="1"/>
      <w:numFmt w:val="none"/>
      <w:lvlRestart w:val="0"/>
      <w:suff w:val="nothing"/>
      <w:lvlText w:val=""/>
      <w:lvlJc w:val="left"/>
      <w:pPr>
        <w:ind w:left="0" w:firstLine="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26" w15:restartNumberingAfterBreak="0">
    <w:nsid w:val="65164B80"/>
    <w:multiLevelType w:val="multilevel"/>
    <w:tmpl w:val="65164B80"/>
    <w:lvl w:ilvl="0">
      <w:start w:val="1"/>
      <w:numFmt w:val="decimal"/>
      <w:pStyle w:val="1"/>
      <w:lvlText w:val="%1"/>
      <w:lvlJc w:val="left"/>
      <w:pPr>
        <w:tabs>
          <w:tab w:val="left" w:pos="432"/>
        </w:tabs>
        <w:ind w:left="432" w:hanging="432"/>
      </w:pPr>
    </w:lvl>
    <w:lvl w:ilvl="1">
      <w:start w:val="1"/>
      <w:numFmt w:val="decimal"/>
      <w:pStyle w:val="21"/>
      <w:lvlText w:val="%1.%2"/>
      <w:lvlJc w:val="left"/>
      <w:pPr>
        <w:tabs>
          <w:tab w:val="left" w:pos="1427"/>
        </w:tabs>
        <w:ind w:left="1427" w:hanging="576"/>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7" w15:restartNumberingAfterBreak="0">
    <w:nsid w:val="6F025FAA"/>
    <w:multiLevelType w:val="multilevel"/>
    <w:tmpl w:val="6F025FAA"/>
    <w:lvl w:ilvl="0">
      <w:start w:val="1"/>
      <w:numFmt w:val="none"/>
      <w:pStyle w:val="AODefHead"/>
      <w:suff w:val="nothing"/>
      <w:lvlText w:val=""/>
      <w:lvlJc w:val="left"/>
      <w:pPr>
        <w:ind w:left="720" w:firstLine="0"/>
      </w:pPr>
      <w:rPr>
        <w:rFonts w:ascii="Times New Roman" w:hAnsi="Times New Roman"/>
        <w:b/>
        <w:i w:val="0"/>
        <w:caps/>
        <w:smallCaps w:val="0"/>
        <w:sz w:val="22"/>
      </w:rPr>
    </w:lvl>
    <w:lvl w:ilvl="1">
      <w:start w:val="1"/>
      <w:numFmt w:val="none"/>
      <w:pStyle w:val="AODefPara"/>
      <w:suff w:val="nothing"/>
      <w:lvlText w:val=""/>
      <w:lvlJc w:val="left"/>
      <w:pPr>
        <w:ind w:left="720" w:firstLine="0"/>
      </w:pPr>
      <w:rPr>
        <w:rFonts w:ascii="Times New Roman" w:hAnsi="Times New Roman"/>
        <w:b/>
        <w:i w:val="0"/>
        <w:caps w:val="0"/>
        <w:smallCaps w:val="0"/>
        <w:sz w:val="22"/>
      </w:rPr>
    </w:lvl>
    <w:lvl w:ilvl="2">
      <w:start w:val="1"/>
      <w:numFmt w:val="lowerLetter"/>
      <w:lvlText w:val="(%3)"/>
      <w:lvlJc w:val="left"/>
      <w:pPr>
        <w:tabs>
          <w:tab w:val="left" w:pos="1440"/>
        </w:tabs>
        <w:ind w:left="1440" w:hanging="720"/>
      </w:pPr>
      <w:rPr>
        <w:rFonts w:ascii="Times New Roman" w:hAnsi="Times New Roman"/>
        <w:b w:val="0"/>
        <w:i w:val="0"/>
        <w:sz w:val="22"/>
      </w:rPr>
    </w:lvl>
    <w:lvl w:ilvl="3">
      <w:start w:val="1"/>
      <w:numFmt w:val="lowerRoman"/>
      <w:lvlText w:val="(%4)"/>
      <w:lvlJc w:val="left"/>
      <w:pPr>
        <w:tabs>
          <w:tab w:val="left" w:pos="1440"/>
        </w:tabs>
        <w:ind w:left="1440" w:hanging="720"/>
      </w:pPr>
      <w:rPr>
        <w:rFonts w:ascii="Times New Roman" w:hAnsi="Times New Roman"/>
        <w:b w:val="0"/>
        <w:i w:val="0"/>
        <w:sz w:val="22"/>
      </w:rPr>
    </w:lvl>
    <w:lvl w:ilvl="4">
      <w:start w:val="1"/>
      <w:numFmt w:val="lowerLetter"/>
      <w:lvlText w:val="(%5)"/>
      <w:lvlJc w:val="left"/>
      <w:pPr>
        <w:tabs>
          <w:tab w:val="left" w:pos="2160"/>
        </w:tabs>
        <w:ind w:left="2160" w:hanging="720"/>
      </w:pPr>
      <w:rPr>
        <w:rFonts w:ascii="Times New Roman" w:hAnsi="Times New Roman"/>
        <w:b w:val="0"/>
        <w:i w:val="0"/>
        <w:sz w:val="22"/>
      </w:rPr>
    </w:lvl>
    <w:lvl w:ilvl="5">
      <w:start w:val="1"/>
      <w:numFmt w:val="lowerRoman"/>
      <w:lvlText w:val="(%6)"/>
      <w:lvlJc w:val="left"/>
      <w:pPr>
        <w:tabs>
          <w:tab w:val="left" w:pos="2160"/>
        </w:tabs>
        <w:ind w:left="2160" w:hanging="720"/>
      </w:pPr>
      <w:rPr>
        <w:rFonts w:ascii="Times New Roman" w:hAnsi="Times New Roman"/>
        <w:b w:val="0"/>
        <w:i w:val="0"/>
        <w:sz w:val="22"/>
      </w:rPr>
    </w:lvl>
    <w:lvl w:ilvl="6">
      <w:start w:val="1"/>
      <w:numFmt w:val="upperLetter"/>
      <w:lvlText w:val="(%7)"/>
      <w:lvlJc w:val="left"/>
      <w:pPr>
        <w:tabs>
          <w:tab w:val="left" w:pos="2160"/>
        </w:tabs>
        <w:ind w:left="2160" w:hanging="720"/>
      </w:pPr>
    </w:lvl>
    <w:lvl w:ilvl="7">
      <w:start w:val="1"/>
      <w:numFmt w:val="decimal"/>
      <w:lvlText w:val="(%8)"/>
      <w:lvlJc w:val="left"/>
      <w:pPr>
        <w:tabs>
          <w:tab w:val="left" w:pos="1440"/>
        </w:tabs>
        <w:ind w:left="1440" w:hanging="720"/>
      </w:pPr>
      <w:rPr>
        <w:rFonts w:ascii="Times New Roman" w:hAnsi="Times New Roman"/>
        <w:b w:val="0"/>
        <w:i w:val="0"/>
        <w:sz w:val="22"/>
      </w:rPr>
    </w:lvl>
    <w:lvl w:ilvl="8">
      <w:start w:val="1"/>
      <w:numFmt w:val="decimal"/>
      <w:lvlText w:val="(%9)"/>
      <w:lvlJc w:val="left"/>
      <w:pPr>
        <w:tabs>
          <w:tab w:val="left" w:pos="2160"/>
        </w:tabs>
        <w:ind w:left="2160" w:hanging="720"/>
      </w:pPr>
      <w:rPr>
        <w:rFonts w:ascii="Times New Roman" w:hAnsi="Times New Roman"/>
        <w:b w:val="0"/>
        <w:i w:val="0"/>
        <w:sz w:val="22"/>
      </w:rPr>
    </w:lvl>
  </w:abstractNum>
  <w:abstractNum w:abstractNumId="28" w15:restartNumberingAfterBreak="0">
    <w:nsid w:val="6F8D3D7A"/>
    <w:multiLevelType w:val="singleLevel"/>
    <w:tmpl w:val="6F8D3D7A"/>
    <w:lvl w:ilvl="0">
      <w:start w:val="1"/>
      <w:numFmt w:val="bullet"/>
      <w:pStyle w:val="AOBullet3"/>
      <w:lvlText w:val=""/>
      <w:lvlJc w:val="left"/>
      <w:pPr>
        <w:tabs>
          <w:tab w:val="left" w:pos="720"/>
        </w:tabs>
        <w:ind w:left="720" w:hanging="720"/>
      </w:pPr>
      <w:rPr>
        <w:rFonts w:ascii="Symbol" w:hAnsi="Symbol" w:hint="default"/>
      </w:rPr>
    </w:lvl>
  </w:abstractNum>
  <w:abstractNum w:abstractNumId="29" w15:restartNumberingAfterBreak="0">
    <w:nsid w:val="761544F7"/>
    <w:multiLevelType w:val="multilevel"/>
    <w:tmpl w:val="761544F7"/>
    <w:lvl w:ilvl="0">
      <w:start w:val="1"/>
      <w:numFmt w:val="decimal"/>
      <w:pStyle w:val="AOGenNum1"/>
      <w:lvlText w:val="%1."/>
      <w:lvlJc w:val="left"/>
      <w:pPr>
        <w:tabs>
          <w:tab w:val="left" w:pos="720"/>
        </w:tabs>
        <w:ind w:left="720" w:hanging="720"/>
      </w:pPr>
    </w:lvl>
    <w:lvl w:ilvl="1">
      <w:start w:val="1"/>
      <w:numFmt w:val="decimal"/>
      <w:pStyle w:val="AOGenNum1Para"/>
      <w:lvlText w:val="%1.%2"/>
      <w:lvlJc w:val="left"/>
      <w:pPr>
        <w:tabs>
          <w:tab w:val="left" w:pos="720"/>
        </w:tabs>
        <w:ind w:left="720" w:hanging="720"/>
      </w:pPr>
    </w:lvl>
    <w:lvl w:ilvl="2">
      <w:start w:val="1"/>
      <w:numFmt w:val="lowerLetter"/>
      <w:pStyle w:val="AOGenNum1List"/>
      <w:lvlText w:val="(%3)"/>
      <w:lvlJc w:val="left"/>
      <w:pPr>
        <w:tabs>
          <w:tab w:val="left" w:pos="720"/>
        </w:tabs>
        <w:ind w:left="720" w:hanging="720"/>
      </w:pPr>
    </w:lvl>
    <w:lvl w:ilvl="3">
      <w:start w:val="1"/>
      <w:numFmt w:val="lowerLetter"/>
      <w:lvlText w:val="(%4)"/>
      <w:lvlJc w:val="left"/>
      <w:pPr>
        <w:tabs>
          <w:tab w:val="left" w:pos="1440"/>
        </w:tabs>
        <w:ind w:left="1440" w:hanging="720"/>
      </w:pPr>
    </w:lvl>
    <w:lvl w:ilvl="4">
      <w:start w:val="1"/>
      <w:numFmt w:val="lowerRoman"/>
      <w:lvlText w:val="(%5)"/>
      <w:lvlJc w:val="left"/>
      <w:pPr>
        <w:tabs>
          <w:tab w:val="left" w:pos="1440"/>
        </w:tabs>
        <w:ind w:left="1440" w:hanging="720"/>
      </w:pPr>
    </w:lvl>
    <w:lvl w:ilvl="5">
      <w:start w:val="1"/>
      <w:numFmt w:val="lowerRoman"/>
      <w:lvlText w:val="(%6)"/>
      <w:lvlJc w:val="left"/>
      <w:pPr>
        <w:tabs>
          <w:tab w:val="left" w:pos="2160"/>
        </w:tabs>
        <w:ind w:left="2160" w:hanging="720"/>
      </w:pPr>
    </w:lvl>
    <w:lvl w:ilvl="6">
      <w:start w:val="1"/>
      <w:numFmt w:val="upperLetter"/>
      <w:lvlText w:val="(%7)"/>
      <w:lvlJc w:val="left"/>
      <w:pPr>
        <w:tabs>
          <w:tab w:val="left" w:pos="2160"/>
        </w:tabs>
        <w:ind w:left="2160" w:hanging="720"/>
      </w:pPr>
    </w:lvl>
    <w:lvl w:ilvl="7">
      <w:start w:val="1"/>
      <w:numFmt w:val="upperLetter"/>
      <w:lvlText w:val="(%8)"/>
      <w:lvlJc w:val="left"/>
      <w:pPr>
        <w:tabs>
          <w:tab w:val="left" w:pos="2880"/>
        </w:tabs>
        <w:ind w:left="2880" w:hanging="720"/>
      </w:pPr>
    </w:lvl>
    <w:lvl w:ilvl="8">
      <w:start w:val="1"/>
      <w:numFmt w:val="upperRoman"/>
      <w:lvlText w:val="%9."/>
      <w:lvlJc w:val="left"/>
      <w:pPr>
        <w:tabs>
          <w:tab w:val="left" w:pos="3600"/>
        </w:tabs>
        <w:ind w:left="3600" w:hanging="720"/>
      </w:pPr>
    </w:lvl>
  </w:abstractNum>
  <w:num w:numId="1">
    <w:abstractNumId w:val="26"/>
  </w:num>
  <w:num w:numId="2">
    <w:abstractNumId w:val="4"/>
  </w:num>
  <w:num w:numId="3">
    <w:abstractNumId w:val="12"/>
  </w:num>
  <w:num w:numId="4">
    <w:abstractNumId w:val="3"/>
    <w:lvlOverride w:ilvl="0">
      <w:startOverride w:val="2"/>
    </w:lvlOverride>
  </w:num>
  <w:num w:numId="5">
    <w:abstractNumId w:val="15"/>
    <w:lvlOverride w:ilvl="0">
      <w:startOverride w:val="1"/>
    </w:lvlOverride>
  </w:num>
  <w:num w:numId="6">
    <w:abstractNumId w:val="18"/>
  </w:num>
  <w:num w:numId="7">
    <w:abstractNumId w:val="10"/>
  </w:num>
  <w:num w:numId="8">
    <w:abstractNumId w:val="27"/>
  </w:num>
  <w:num w:numId="9">
    <w:abstractNumId w:val="22"/>
  </w:num>
  <w:num w:numId="10">
    <w:abstractNumId w:val="25"/>
  </w:num>
  <w:num w:numId="11">
    <w:abstractNumId w:val="20"/>
  </w:num>
  <w:num w:numId="12">
    <w:abstractNumId w:val="1"/>
  </w:num>
  <w:num w:numId="13">
    <w:abstractNumId w:val="14"/>
  </w:num>
  <w:num w:numId="14">
    <w:abstractNumId w:val="29"/>
  </w:num>
  <w:num w:numId="15">
    <w:abstractNumId w:val="16"/>
  </w:num>
  <w:num w:numId="16">
    <w:abstractNumId w:val="19"/>
  </w:num>
  <w:num w:numId="17">
    <w:abstractNumId w:val="23"/>
  </w:num>
  <w:num w:numId="18">
    <w:abstractNumId w:val="5"/>
  </w:num>
  <w:num w:numId="19">
    <w:abstractNumId w:val="8"/>
  </w:num>
  <w:num w:numId="20">
    <w:abstractNumId w:val="28"/>
  </w:num>
  <w:num w:numId="21">
    <w:abstractNumId w:val="17"/>
  </w:num>
  <w:num w:numId="22">
    <w:abstractNumId w:val="6"/>
  </w:num>
  <w:num w:numId="23">
    <w:abstractNumId w:val="0"/>
  </w:num>
  <w:num w:numId="24">
    <w:abstractNumId w:val="11"/>
  </w:num>
  <w:num w:numId="25">
    <w:abstractNumId w:val="7"/>
  </w:num>
  <w:num w:numId="26">
    <w:abstractNumId w:val="9"/>
  </w:num>
  <w:num w:numId="27">
    <w:abstractNumId w:val="24"/>
  </w:num>
  <w:num w:numId="28">
    <w:abstractNumId w:val="13"/>
  </w:num>
  <w:num w:numId="29">
    <w:abstractNumId w:val="21"/>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NotTrackFormatting/>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6C"/>
    <w:rsid w:val="00003FD9"/>
    <w:rsid w:val="00004062"/>
    <w:rsid w:val="000046F8"/>
    <w:rsid w:val="000107FE"/>
    <w:rsid w:val="000116E9"/>
    <w:rsid w:val="000121F7"/>
    <w:rsid w:val="000154D1"/>
    <w:rsid w:val="00020285"/>
    <w:rsid w:val="00020E65"/>
    <w:rsid w:val="00020F75"/>
    <w:rsid w:val="00025109"/>
    <w:rsid w:val="00032488"/>
    <w:rsid w:val="000353FB"/>
    <w:rsid w:val="00036B0A"/>
    <w:rsid w:val="00037455"/>
    <w:rsid w:val="00044190"/>
    <w:rsid w:val="000444CE"/>
    <w:rsid w:val="00051753"/>
    <w:rsid w:val="00051C9C"/>
    <w:rsid w:val="00055B33"/>
    <w:rsid w:val="00061E2A"/>
    <w:rsid w:val="0006555E"/>
    <w:rsid w:val="00065687"/>
    <w:rsid w:val="00070CF7"/>
    <w:rsid w:val="00071FBB"/>
    <w:rsid w:val="00073260"/>
    <w:rsid w:val="000750FA"/>
    <w:rsid w:val="00076016"/>
    <w:rsid w:val="00076984"/>
    <w:rsid w:val="00077F6E"/>
    <w:rsid w:val="00084539"/>
    <w:rsid w:val="00086E0D"/>
    <w:rsid w:val="00086F03"/>
    <w:rsid w:val="000A0396"/>
    <w:rsid w:val="000A12CD"/>
    <w:rsid w:val="000A1D8C"/>
    <w:rsid w:val="000A228C"/>
    <w:rsid w:val="000A3F5B"/>
    <w:rsid w:val="000A43BB"/>
    <w:rsid w:val="000A660C"/>
    <w:rsid w:val="000A7C73"/>
    <w:rsid w:val="000B12A6"/>
    <w:rsid w:val="000B3480"/>
    <w:rsid w:val="000B5E01"/>
    <w:rsid w:val="000B5ECE"/>
    <w:rsid w:val="000C4BCE"/>
    <w:rsid w:val="000C63FF"/>
    <w:rsid w:val="000C647E"/>
    <w:rsid w:val="000C651D"/>
    <w:rsid w:val="000C66F7"/>
    <w:rsid w:val="000D2098"/>
    <w:rsid w:val="000D2A30"/>
    <w:rsid w:val="000D2DE5"/>
    <w:rsid w:val="000D3450"/>
    <w:rsid w:val="000D4ECE"/>
    <w:rsid w:val="000D6BB3"/>
    <w:rsid w:val="000D70BC"/>
    <w:rsid w:val="000D7F1D"/>
    <w:rsid w:val="000E34AD"/>
    <w:rsid w:val="000E3CC1"/>
    <w:rsid w:val="000E4D00"/>
    <w:rsid w:val="000E530E"/>
    <w:rsid w:val="000F019C"/>
    <w:rsid w:val="000F03FC"/>
    <w:rsid w:val="000F4725"/>
    <w:rsid w:val="00105E8D"/>
    <w:rsid w:val="0010788C"/>
    <w:rsid w:val="001078EE"/>
    <w:rsid w:val="0011097F"/>
    <w:rsid w:val="00111A0E"/>
    <w:rsid w:val="00117972"/>
    <w:rsid w:val="00123542"/>
    <w:rsid w:val="00126BE0"/>
    <w:rsid w:val="00130E61"/>
    <w:rsid w:val="00132446"/>
    <w:rsid w:val="001324B5"/>
    <w:rsid w:val="00133A93"/>
    <w:rsid w:val="00133B7D"/>
    <w:rsid w:val="001356CF"/>
    <w:rsid w:val="00136AF3"/>
    <w:rsid w:val="00141C6F"/>
    <w:rsid w:val="00142008"/>
    <w:rsid w:val="0014203D"/>
    <w:rsid w:val="001422B0"/>
    <w:rsid w:val="00144630"/>
    <w:rsid w:val="00152F6E"/>
    <w:rsid w:val="00154EFE"/>
    <w:rsid w:val="0015568C"/>
    <w:rsid w:val="00156038"/>
    <w:rsid w:val="0016258F"/>
    <w:rsid w:val="001660C4"/>
    <w:rsid w:val="001715E0"/>
    <w:rsid w:val="00172A27"/>
    <w:rsid w:val="00172BBA"/>
    <w:rsid w:val="00174906"/>
    <w:rsid w:val="00175666"/>
    <w:rsid w:val="00177513"/>
    <w:rsid w:val="00177BAE"/>
    <w:rsid w:val="00190895"/>
    <w:rsid w:val="00192439"/>
    <w:rsid w:val="00193227"/>
    <w:rsid w:val="00193FC3"/>
    <w:rsid w:val="00197273"/>
    <w:rsid w:val="001A0227"/>
    <w:rsid w:val="001A33DC"/>
    <w:rsid w:val="001A3654"/>
    <w:rsid w:val="001A5639"/>
    <w:rsid w:val="001A6D34"/>
    <w:rsid w:val="001B0321"/>
    <w:rsid w:val="001B4369"/>
    <w:rsid w:val="001B4AB9"/>
    <w:rsid w:val="001B4B9C"/>
    <w:rsid w:val="001B5358"/>
    <w:rsid w:val="001B7D42"/>
    <w:rsid w:val="001B7D4C"/>
    <w:rsid w:val="001C2DC9"/>
    <w:rsid w:val="001C6B9D"/>
    <w:rsid w:val="001D16BB"/>
    <w:rsid w:val="001D3204"/>
    <w:rsid w:val="001D3606"/>
    <w:rsid w:val="001D49B3"/>
    <w:rsid w:val="001D5092"/>
    <w:rsid w:val="001D67E3"/>
    <w:rsid w:val="001D7865"/>
    <w:rsid w:val="001D7C83"/>
    <w:rsid w:val="001D7DB1"/>
    <w:rsid w:val="001E0860"/>
    <w:rsid w:val="001E09A0"/>
    <w:rsid w:val="001E1119"/>
    <w:rsid w:val="001E4F66"/>
    <w:rsid w:val="001E5D94"/>
    <w:rsid w:val="001E73AD"/>
    <w:rsid w:val="001F1A88"/>
    <w:rsid w:val="001F21AD"/>
    <w:rsid w:val="001F22F0"/>
    <w:rsid w:val="001F39AB"/>
    <w:rsid w:val="001F61B2"/>
    <w:rsid w:val="002010E7"/>
    <w:rsid w:val="00202073"/>
    <w:rsid w:val="00202EA7"/>
    <w:rsid w:val="00203374"/>
    <w:rsid w:val="00203F83"/>
    <w:rsid w:val="00205FC6"/>
    <w:rsid w:val="00210359"/>
    <w:rsid w:val="00211398"/>
    <w:rsid w:val="00211EF0"/>
    <w:rsid w:val="0021544E"/>
    <w:rsid w:val="00215FD5"/>
    <w:rsid w:val="00216D6D"/>
    <w:rsid w:val="00220B2B"/>
    <w:rsid w:val="00222A34"/>
    <w:rsid w:val="0022443C"/>
    <w:rsid w:val="00225A66"/>
    <w:rsid w:val="00225E22"/>
    <w:rsid w:val="0022657F"/>
    <w:rsid w:val="002301FD"/>
    <w:rsid w:val="00241F4C"/>
    <w:rsid w:val="002429C1"/>
    <w:rsid w:val="00246F02"/>
    <w:rsid w:val="00247213"/>
    <w:rsid w:val="002534A2"/>
    <w:rsid w:val="00254031"/>
    <w:rsid w:val="00254F45"/>
    <w:rsid w:val="00257519"/>
    <w:rsid w:val="00257F0B"/>
    <w:rsid w:val="00261330"/>
    <w:rsid w:val="00263AAA"/>
    <w:rsid w:val="00265115"/>
    <w:rsid w:val="0026657A"/>
    <w:rsid w:val="002676DB"/>
    <w:rsid w:val="00273EC7"/>
    <w:rsid w:val="00274981"/>
    <w:rsid w:val="00276462"/>
    <w:rsid w:val="002777CC"/>
    <w:rsid w:val="0027792D"/>
    <w:rsid w:val="0028391E"/>
    <w:rsid w:val="00286F83"/>
    <w:rsid w:val="00295CDD"/>
    <w:rsid w:val="002A09A5"/>
    <w:rsid w:val="002A4B0D"/>
    <w:rsid w:val="002A57F3"/>
    <w:rsid w:val="002A641B"/>
    <w:rsid w:val="002A6F70"/>
    <w:rsid w:val="002A7C23"/>
    <w:rsid w:val="002B275C"/>
    <w:rsid w:val="002B2E25"/>
    <w:rsid w:val="002B58F1"/>
    <w:rsid w:val="002B5C75"/>
    <w:rsid w:val="002B6AD7"/>
    <w:rsid w:val="002C1F72"/>
    <w:rsid w:val="002C445C"/>
    <w:rsid w:val="002C5485"/>
    <w:rsid w:val="002C6503"/>
    <w:rsid w:val="002D362D"/>
    <w:rsid w:val="002D41F5"/>
    <w:rsid w:val="002D5512"/>
    <w:rsid w:val="002E00F3"/>
    <w:rsid w:val="002E202F"/>
    <w:rsid w:val="002E330A"/>
    <w:rsid w:val="002F3585"/>
    <w:rsid w:val="002F393A"/>
    <w:rsid w:val="002F4139"/>
    <w:rsid w:val="002F48DC"/>
    <w:rsid w:val="002F493C"/>
    <w:rsid w:val="0030240A"/>
    <w:rsid w:val="003170FA"/>
    <w:rsid w:val="00317982"/>
    <w:rsid w:val="00321792"/>
    <w:rsid w:val="00321919"/>
    <w:rsid w:val="0032679C"/>
    <w:rsid w:val="003302F3"/>
    <w:rsid w:val="00334073"/>
    <w:rsid w:val="003463AC"/>
    <w:rsid w:val="003512D1"/>
    <w:rsid w:val="00352E37"/>
    <w:rsid w:val="003549C5"/>
    <w:rsid w:val="00354BC3"/>
    <w:rsid w:val="0035565E"/>
    <w:rsid w:val="00356148"/>
    <w:rsid w:val="00356631"/>
    <w:rsid w:val="00357C62"/>
    <w:rsid w:val="0036228F"/>
    <w:rsid w:val="00362782"/>
    <w:rsid w:val="00362A12"/>
    <w:rsid w:val="00363CDE"/>
    <w:rsid w:val="00364046"/>
    <w:rsid w:val="00373C28"/>
    <w:rsid w:val="00376421"/>
    <w:rsid w:val="00376E24"/>
    <w:rsid w:val="003771A3"/>
    <w:rsid w:val="00380FEF"/>
    <w:rsid w:val="0038155A"/>
    <w:rsid w:val="00382901"/>
    <w:rsid w:val="00382AB0"/>
    <w:rsid w:val="00382E7B"/>
    <w:rsid w:val="003833ED"/>
    <w:rsid w:val="003847FA"/>
    <w:rsid w:val="0038652C"/>
    <w:rsid w:val="003866B6"/>
    <w:rsid w:val="00387545"/>
    <w:rsid w:val="00392586"/>
    <w:rsid w:val="0039349A"/>
    <w:rsid w:val="003A06BE"/>
    <w:rsid w:val="003A23ED"/>
    <w:rsid w:val="003A6583"/>
    <w:rsid w:val="003A7273"/>
    <w:rsid w:val="003A7A5F"/>
    <w:rsid w:val="003A7C32"/>
    <w:rsid w:val="003B08F1"/>
    <w:rsid w:val="003B24F2"/>
    <w:rsid w:val="003B4FE0"/>
    <w:rsid w:val="003C3555"/>
    <w:rsid w:val="003C6C7A"/>
    <w:rsid w:val="003D11B9"/>
    <w:rsid w:val="003D122C"/>
    <w:rsid w:val="003D1FFF"/>
    <w:rsid w:val="003D24B5"/>
    <w:rsid w:val="003D26BA"/>
    <w:rsid w:val="003D379A"/>
    <w:rsid w:val="003D3E6A"/>
    <w:rsid w:val="003D5968"/>
    <w:rsid w:val="003D6C99"/>
    <w:rsid w:val="003E117D"/>
    <w:rsid w:val="003E2458"/>
    <w:rsid w:val="003E24B4"/>
    <w:rsid w:val="003E3ACE"/>
    <w:rsid w:val="003E7660"/>
    <w:rsid w:val="003F525C"/>
    <w:rsid w:val="003F5B73"/>
    <w:rsid w:val="003F5D1B"/>
    <w:rsid w:val="003F649D"/>
    <w:rsid w:val="00401B01"/>
    <w:rsid w:val="004039F3"/>
    <w:rsid w:val="00406C5A"/>
    <w:rsid w:val="004133ED"/>
    <w:rsid w:val="004147F2"/>
    <w:rsid w:val="00414A5F"/>
    <w:rsid w:val="00414F34"/>
    <w:rsid w:val="00415FA6"/>
    <w:rsid w:val="004173BC"/>
    <w:rsid w:val="00420D3F"/>
    <w:rsid w:val="004223BC"/>
    <w:rsid w:val="004262AC"/>
    <w:rsid w:val="00426F0A"/>
    <w:rsid w:val="00427B49"/>
    <w:rsid w:val="004305C7"/>
    <w:rsid w:val="004312D3"/>
    <w:rsid w:val="004336FD"/>
    <w:rsid w:val="00434097"/>
    <w:rsid w:val="00434D37"/>
    <w:rsid w:val="00435EC7"/>
    <w:rsid w:val="00436AA1"/>
    <w:rsid w:val="00437E8F"/>
    <w:rsid w:val="004413A4"/>
    <w:rsid w:val="00441488"/>
    <w:rsid w:val="00441C49"/>
    <w:rsid w:val="00441CF9"/>
    <w:rsid w:val="00450085"/>
    <w:rsid w:val="0045135B"/>
    <w:rsid w:val="004539E2"/>
    <w:rsid w:val="00453C88"/>
    <w:rsid w:val="00453ED2"/>
    <w:rsid w:val="00454D42"/>
    <w:rsid w:val="0045575F"/>
    <w:rsid w:val="00457FB5"/>
    <w:rsid w:val="0046378B"/>
    <w:rsid w:val="00464AD8"/>
    <w:rsid w:val="0047140A"/>
    <w:rsid w:val="00474A5E"/>
    <w:rsid w:val="00475897"/>
    <w:rsid w:val="00477C40"/>
    <w:rsid w:val="00482C91"/>
    <w:rsid w:val="004837FB"/>
    <w:rsid w:val="004842F5"/>
    <w:rsid w:val="004859E0"/>
    <w:rsid w:val="00485BEF"/>
    <w:rsid w:val="004868E2"/>
    <w:rsid w:val="00491705"/>
    <w:rsid w:val="0049598E"/>
    <w:rsid w:val="004961ED"/>
    <w:rsid w:val="004A03BA"/>
    <w:rsid w:val="004A367E"/>
    <w:rsid w:val="004A475B"/>
    <w:rsid w:val="004A50F8"/>
    <w:rsid w:val="004A68E8"/>
    <w:rsid w:val="004A7EBC"/>
    <w:rsid w:val="004B056F"/>
    <w:rsid w:val="004B0C59"/>
    <w:rsid w:val="004B2AAB"/>
    <w:rsid w:val="004B3916"/>
    <w:rsid w:val="004C2D4C"/>
    <w:rsid w:val="004C3FB6"/>
    <w:rsid w:val="004C7AD4"/>
    <w:rsid w:val="004C7C06"/>
    <w:rsid w:val="004D0650"/>
    <w:rsid w:val="004D0870"/>
    <w:rsid w:val="004D1ED2"/>
    <w:rsid w:val="004D2598"/>
    <w:rsid w:val="004D28C6"/>
    <w:rsid w:val="004D3748"/>
    <w:rsid w:val="004D5667"/>
    <w:rsid w:val="004D5D83"/>
    <w:rsid w:val="004D63AE"/>
    <w:rsid w:val="004D6884"/>
    <w:rsid w:val="004D69CC"/>
    <w:rsid w:val="004E039F"/>
    <w:rsid w:val="004E376E"/>
    <w:rsid w:val="004E5B9F"/>
    <w:rsid w:val="004F34BF"/>
    <w:rsid w:val="004F36D8"/>
    <w:rsid w:val="004F52B5"/>
    <w:rsid w:val="005101A4"/>
    <w:rsid w:val="00513ADF"/>
    <w:rsid w:val="00514E70"/>
    <w:rsid w:val="005178C8"/>
    <w:rsid w:val="0052003E"/>
    <w:rsid w:val="005203A2"/>
    <w:rsid w:val="00523931"/>
    <w:rsid w:val="00532B14"/>
    <w:rsid w:val="00532EAE"/>
    <w:rsid w:val="00535DCE"/>
    <w:rsid w:val="005363B5"/>
    <w:rsid w:val="005421A6"/>
    <w:rsid w:val="00542889"/>
    <w:rsid w:val="005513B3"/>
    <w:rsid w:val="00553779"/>
    <w:rsid w:val="00554ABC"/>
    <w:rsid w:val="00554AD9"/>
    <w:rsid w:val="00556F9C"/>
    <w:rsid w:val="005629CB"/>
    <w:rsid w:val="00563CB0"/>
    <w:rsid w:val="00564D0D"/>
    <w:rsid w:val="00565E16"/>
    <w:rsid w:val="00570F9B"/>
    <w:rsid w:val="00571768"/>
    <w:rsid w:val="00573B6E"/>
    <w:rsid w:val="00573CFE"/>
    <w:rsid w:val="00575F1C"/>
    <w:rsid w:val="00576BFC"/>
    <w:rsid w:val="0057783D"/>
    <w:rsid w:val="00580D9A"/>
    <w:rsid w:val="00581B6C"/>
    <w:rsid w:val="0058382F"/>
    <w:rsid w:val="005905B9"/>
    <w:rsid w:val="00597954"/>
    <w:rsid w:val="005A252C"/>
    <w:rsid w:val="005A40E0"/>
    <w:rsid w:val="005A6397"/>
    <w:rsid w:val="005B0132"/>
    <w:rsid w:val="005B3BBB"/>
    <w:rsid w:val="005B4D4D"/>
    <w:rsid w:val="005B533F"/>
    <w:rsid w:val="005C0C2D"/>
    <w:rsid w:val="005C3354"/>
    <w:rsid w:val="005C36C1"/>
    <w:rsid w:val="005C41C9"/>
    <w:rsid w:val="005C47C8"/>
    <w:rsid w:val="005C4963"/>
    <w:rsid w:val="005C5597"/>
    <w:rsid w:val="005C6712"/>
    <w:rsid w:val="005D2433"/>
    <w:rsid w:val="005D3066"/>
    <w:rsid w:val="005D3A42"/>
    <w:rsid w:val="005D591A"/>
    <w:rsid w:val="005D6A43"/>
    <w:rsid w:val="005E155B"/>
    <w:rsid w:val="005E1F66"/>
    <w:rsid w:val="005E4FDB"/>
    <w:rsid w:val="005F1B61"/>
    <w:rsid w:val="005F3DE5"/>
    <w:rsid w:val="005F4660"/>
    <w:rsid w:val="005F5F63"/>
    <w:rsid w:val="005F6199"/>
    <w:rsid w:val="005F794E"/>
    <w:rsid w:val="005F7CDD"/>
    <w:rsid w:val="006003F7"/>
    <w:rsid w:val="00604A00"/>
    <w:rsid w:val="00604F3C"/>
    <w:rsid w:val="00604FBC"/>
    <w:rsid w:val="0060700A"/>
    <w:rsid w:val="006071FE"/>
    <w:rsid w:val="00610766"/>
    <w:rsid w:val="00610925"/>
    <w:rsid w:val="00611A6A"/>
    <w:rsid w:val="006124D2"/>
    <w:rsid w:val="006172A9"/>
    <w:rsid w:val="006204C6"/>
    <w:rsid w:val="00621643"/>
    <w:rsid w:val="006236A8"/>
    <w:rsid w:val="006238C2"/>
    <w:rsid w:val="00626509"/>
    <w:rsid w:val="00626E64"/>
    <w:rsid w:val="006302E4"/>
    <w:rsid w:val="00630B51"/>
    <w:rsid w:val="00632204"/>
    <w:rsid w:val="00632D1F"/>
    <w:rsid w:val="0063785D"/>
    <w:rsid w:val="00640491"/>
    <w:rsid w:val="0064215E"/>
    <w:rsid w:val="006424D4"/>
    <w:rsid w:val="00643DD1"/>
    <w:rsid w:val="00645B3E"/>
    <w:rsid w:val="006510E4"/>
    <w:rsid w:val="00652369"/>
    <w:rsid w:val="0065509C"/>
    <w:rsid w:val="00657C6C"/>
    <w:rsid w:val="00663AB5"/>
    <w:rsid w:val="00664F69"/>
    <w:rsid w:val="00665213"/>
    <w:rsid w:val="00665A64"/>
    <w:rsid w:val="00667488"/>
    <w:rsid w:val="006701B2"/>
    <w:rsid w:val="006702B7"/>
    <w:rsid w:val="006709AC"/>
    <w:rsid w:val="00673A63"/>
    <w:rsid w:val="00675DC7"/>
    <w:rsid w:val="00676D81"/>
    <w:rsid w:val="00680013"/>
    <w:rsid w:val="006843DB"/>
    <w:rsid w:val="00684CFA"/>
    <w:rsid w:val="0068651E"/>
    <w:rsid w:val="006918EF"/>
    <w:rsid w:val="00693E5C"/>
    <w:rsid w:val="00694FAF"/>
    <w:rsid w:val="006978CD"/>
    <w:rsid w:val="00697ADD"/>
    <w:rsid w:val="006A0B17"/>
    <w:rsid w:val="006A411C"/>
    <w:rsid w:val="006A48C8"/>
    <w:rsid w:val="006A5529"/>
    <w:rsid w:val="006A7377"/>
    <w:rsid w:val="006A7CD2"/>
    <w:rsid w:val="006B3783"/>
    <w:rsid w:val="006B7A33"/>
    <w:rsid w:val="006C1761"/>
    <w:rsid w:val="006C21FB"/>
    <w:rsid w:val="006C267D"/>
    <w:rsid w:val="006C307F"/>
    <w:rsid w:val="006C39B0"/>
    <w:rsid w:val="006C3D0F"/>
    <w:rsid w:val="006C3FAE"/>
    <w:rsid w:val="006C4206"/>
    <w:rsid w:val="006C4771"/>
    <w:rsid w:val="006C6668"/>
    <w:rsid w:val="006D19ED"/>
    <w:rsid w:val="006D2A6B"/>
    <w:rsid w:val="006D3052"/>
    <w:rsid w:val="006D347D"/>
    <w:rsid w:val="006D3F86"/>
    <w:rsid w:val="006D4323"/>
    <w:rsid w:val="006D46BF"/>
    <w:rsid w:val="006D66E0"/>
    <w:rsid w:val="006D75CC"/>
    <w:rsid w:val="006E0065"/>
    <w:rsid w:val="006E3E24"/>
    <w:rsid w:val="006E48DD"/>
    <w:rsid w:val="006E5A2D"/>
    <w:rsid w:val="006F0DFB"/>
    <w:rsid w:val="006F1B2B"/>
    <w:rsid w:val="006F2281"/>
    <w:rsid w:val="006F3158"/>
    <w:rsid w:val="006F3749"/>
    <w:rsid w:val="006F6E89"/>
    <w:rsid w:val="006F760D"/>
    <w:rsid w:val="0070288E"/>
    <w:rsid w:val="00704F51"/>
    <w:rsid w:val="00705D0B"/>
    <w:rsid w:val="00706097"/>
    <w:rsid w:val="007067AE"/>
    <w:rsid w:val="007107BD"/>
    <w:rsid w:val="0071127F"/>
    <w:rsid w:val="007164B3"/>
    <w:rsid w:val="00717A9E"/>
    <w:rsid w:val="00717C49"/>
    <w:rsid w:val="00720C63"/>
    <w:rsid w:val="00722AD7"/>
    <w:rsid w:val="00726856"/>
    <w:rsid w:val="00730FB8"/>
    <w:rsid w:val="0073177A"/>
    <w:rsid w:val="007338E6"/>
    <w:rsid w:val="00733B9D"/>
    <w:rsid w:val="00735E16"/>
    <w:rsid w:val="00737F40"/>
    <w:rsid w:val="00743353"/>
    <w:rsid w:val="0074440C"/>
    <w:rsid w:val="0074654D"/>
    <w:rsid w:val="00746EB6"/>
    <w:rsid w:val="00750C16"/>
    <w:rsid w:val="00750D4F"/>
    <w:rsid w:val="00751B4A"/>
    <w:rsid w:val="00751C15"/>
    <w:rsid w:val="00751D1C"/>
    <w:rsid w:val="00755331"/>
    <w:rsid w:val="007608FE"/>
    <w:rsid w:val="00763015"/>
    <w:rsid w:val="00763596"/>
    <w:rsid w:val="00763672"/>
    <w:rsid w:val="00763881"/>
    <w:rsid w:val="007641ED"/>
    <w:rsid w:val="00765729"/>
    <w:rsid w:val="00766925"/>
    <w:rsid w:val="0077174A"/>
    <w:rsid w:val="007732B6"/>
    <w:rsid w:val="00777199"/>
    <w:rsid w:val="00781E3C"/>
    <w:rsid w:val="00783C75"/>
    <w:rsid w:val="00785ED5"/>
    <w:rsid w:val="007872F9"/>
    <w:rsid w:val="007910F6"/>
    <w:rsid w:val="007929CB"/>
    <w:rsid w:val="00795568"/>
    <w:rsid w:val="00796F58"/>
    <w:rsid w:val="007A0182"/>
    <w:rsid w:val="007A2FF9"/>
    <w:rsid w:val="007A6393"/>
    <w:rsid w:val="007B0F3A"/>
    <w:rsid w:val="007B512B"/>
    <w:rsid w:val="007B60D6"/>
    <w:rsid w:val="007B6CBF"/>
    <w:rsid w:val="007C178C"/>
    <w:rsid w:val="007C3978"/>
    <w:rsid w:val="007C5565"/>
    <w:rsid w:val="007C62DC"/>
    <w:rsid w:val="007C6C01"/>
    <w:rsid w:val="007D0476"/>
    <w:rsid w:val="007D0EB8"/>
    <w:rsid w:val="007D10DE"/>
    <w:rsid w:val="007D38E2"/>
    <w:rsid w:val="007D4079"/>
    <w:rsid w:val="007D5CE7"/>
    <w:rsid w:val="007D73F9"/>
    <w:rsid w:val="007E6420"/>
    <w:rsid w:val="007E7603"/>
    <w:rsid w:val="007E76FE"/>
    <w:rsid w:val="007F054C"/>
    <w:rsid w:val="007F2289"/>
    <w:rsid w:val="007F3E75"/>
    <w:rsid w:val="007F5565"/>
    <w:rsid w:val="008021A1"/>
    <w:rsid w:val="00803751"/>
    <w:rsid w:val="008042CA"/>
    <w:rsid w:val="00806429"/>
    <w:rsid w:val="0080648C"/>
    <w:rsid w:val="0080721D"/>
    <w:rsid w:val="00817279"/>
    <w:rsid w:val="00817678"/>
    <w:rsid w:val="00823178"/>
    <w:rsid w:val="00827009"/>
    <w:rsid w:val="00827E15"/>
    <w:rsid w:val="008310F7"/>
    <w:rsid w:val="0083126F"/>
    <w:rsid w:val="008312A0"/>
    <w:rsid w:val="008336E5"/>
    <w:rsid w:val="0083417D"/>
    <w:rsid w:val="008342A6"/>
    <w:rsid w:val="0083551D"/>
    <w:rsid w:val="008407CD"/>
    <w:rsid w:val="00840C3A"/>
    <w:rsid w:val="008417BC"/>
    <w:rsid w:val="008434DD"/>
    <w:rsid w:val="00845D81"/>
    <w:rsid w:val="00846DDA"/>
    <w:rsid w:val="00847288"/>
    <w:rsid w:val="008477E7"/>
    <w:rsid w:val="00847CF8"/>
    <w:rsid w:val="00852593"/>
    <w:rsid w:val="008542A3"/>
    <w:rsid w:val="00854E19"/>
    <w:rsid w:val="008552E0"/>
    <w:rsid w:val="008604CB"/>
    <w:rsid w:val="00862DD8"/>
    <w:rsid w:val="008636A2"/>
    <w:rsid w:val="00863FD4"/>
    <w:rsid w:val="008659FC"/>
    <w:rsid w:val="00867EE5"/>
    <w:rsid w:val="00870B5D"/>
    <w:rsid w:val="00875B2A"/>
    <w:rsid w:val="00877638"/>
    <w:rsid w:val="00881345"/>
    <w:rsid w:val="008823AE"/>
    <w:rsid w:val="00883EB4"/>
    <w:rsid w:val="008862EC"/>
    <w:rsid w:val="00886332"/>
    <w:rsid w:val="00891254"/>
    <w:rsid w:val="00893843"/>
    <w:rsid w:val="008955B4"/>
    <w:rsid w:val="00896485"/>
    <w:rsid w:val="00896806"/>
    <w:rsid w:val="008976F2"/>
    <w:rsid w:val="008A4A05"/>
    <w:rsid w:val="008A555D"/>
    <w:rsid w:val="008B327E"/>
    <w:rsid w:val="008B4E56"/>
    <w:rsid w:val="008B566D"/>
    <w:rsid w:val="008B65ED"/>
    <w:rsid w:val="008C024F"/>
    <w:rsid w:val="008C21D6"/>
    <w:rsid w:val="008C6089"/>
    <w:rsid w:val="008C700B"/>
    <w:rsid w:val="008C7801"/>
    <w:rsid w:val="008D00C0"/>
    <w:rsid w:val="008D02A0"/>
    <w:rsid w:val="008D0580"/>
    <w:rsid w:val="008D3161"/>
    <w:rsid w:val="008D3578"/>
    <w:rsid w:val="008E02D1"/>
    <w:rsid w:val="008E2AD0"/>
    <w:rsid w:val="008E6AF9"/>
    <w:rsid w:val="008E7086"/>
    <w:rsid w:val="008E716C"/>
    <w:rsid w:val="008F0128"/>
    <w:rsid w:val="008F05D3"/>
    <w:rsid w:val="008F136B"/>
    <w:rsid w:val="008F14B0"/>
    <w:rsid w:val="008F212A"/>
    <w:rsid w:val="008F49EE"/>
    <w:rsid w:val="009001CF"/>
    <w:rsid w:val="00900238"/>
    <w:rsid w:val="00900463"/>
    <w:rsid w:val="0090573E"/>
    <w:rsid w:val="00912FAC"/>
    <w:rsid w:val="00913A71"/>
    <w:rsid w:val="0091531A"/>
    <w:rsid w:val="00916D10"/>
    <w:rsid w:val="00917D46"/>
    <w:rsid w:val="009205BD"/>
    <w:rsid w:val="00920BBA"/>
    <w:rsid w:val="009217B9"/>
    <w:rsid w:val="00923239"/>
    <w:rsid w:val="00924182"/>
    <w:rsid w:val="00924550"/>
    <w:rsid w:val="009250C7"/>
    <w:rsid w:val="009255A6"/>
    <w:rsid w:val="00925FF9"/>
    <w:rsid w:val="00927D96"/>
    <w:rsid w:val="00933DF6"/>
    <w:rsid w:val="00934F74"/>
    <w:rsid w:val="009355DD"/>
    <w:rsid w:val="00940D61"/>
    <w:rsid w:val="009427E5"/>
    <w:rsid w:val="00942CC4"/>
    <w:rsid w:val="009443BF"/>
    <w:rsid w:val="00946950"/>
    <w:rsid w:val="00947C9C"/>
    <w:rsid w:val="009504E6"/>
    <w:rsid w:val="009530A3"/>
    <w:rsid w:val="00956834"/>
    <w:rsid w:val="009575F2"/>
    <w:rsid w:val="0095766E"/>
    <w:rsid w:val="009641C0"/>
    <w:rsid w:val="00966847"/>
    <w:rsid w:val="009675BB"/>
    <w:rsid w:val="0097245F"/>
    <w:rsid w:val="00972E21"/>
    <w:rsid w:val="0097301A"/>
    <w:rsid w:val="00981C1C"/>
    <w:rsid w:val="00984914"/>
    <w:rsid w:val="00986596"/>
    <w:rsid w:val="00987CE1"/>
    <w:rsid w:val="009935B6"/>
    <w:rsid w:val="009A4366"/>
    <w:rsid w:val="009A4D2D"/>
    <w:rsid w:val="009B0363"/>
    <w:rsid w:val="009B0616"/>
    <w:rsid w:val="009B1C76"/>
    <w:rsid w:val="009B6841"/>
    <w:rsid w:val="009B7A43"/>
    <w:rsid w:val="009C0568"/>
    <w:rsid w:val="009C0AD3"/>
    <w:rsid w:val="009C1882"/>
    <w:rsid w:val="009C38F6"/>
    <w:rsid w:val="009C399E"/>
    <w:rsid w:val="009C76B5"/>
    <w:rsid w:val="009C78DB"/>
    <w:rsid w:val="009D2E6F"/>
    <w:rsid w:val="009D5167"/>
    <w:rsid w:val="009D7C47"/>
    <w:rsid w:val="009E0122"/>
    <w:rsid w:val="009E1CC3"/>
    <w:rsid w:val="009E1E2E"/>
    <w:rsid w:val="009E56A1"/>
    <w:rsid w:val="009E5AB2"/>
    <w:rsid w:val="009E670F"/>
    <w:rsid w:val="009F0D83"/>
    <w:rsid w:val="009F228E"/>
    <w:rsid w:val="009F3552"/>
    <w:rsid w:val="009F54B0"/>
    <w:rsid w:val="009F56CC"/>
    <w:rsid w:val="009F57A7"/>
    <w:rsid w:val="009F5C1D"/>
    <w:rsid w:val="009F5FC0"/>
    <w:rsid w:val="00A01714"/>
    <w:rsid w:val="00A03DF5"/>
    <w:rsid w:val="00A11F29"/>
    <w:rsid w:val="00A121DD"/>
    <w:rsid w:val="00A146B8"/>
    <w:rsid w:val="00A15FFB"/>
    <w:rsid w:val="00A25726"/>
    <w:rsid w:val="00A31058"/>
    <w:rsid w:val="00A40887"/>
    <w:rsid w:val="00A42A4F"/>
    <w:rsid w:val="00A54CAE"/>
    <w:rsid w:val="00A568A9"/>
    <w:rsid w:val="00A56EA5"/>
    <w:rsid w:val="00A603C6"/>
    <w:rsid w:val="00A63228"/>
    <w:rsid w:val="00A67449"/>
    <w:rsid w:val="00A67A0F"/>
    <w:rsid w:val="00A7134F"/>
    <w:rsid w:val="00A71C9C"/>
    <w:rsid w:val="00A73570"/>
    <w:rsid w:val="00A751B8"/>
    <w:rsid w:val="00A75CEC"/>
    <w:rsid w:val="00A76BBD"/>
    <w:rsid w:val="00A76C2F"/>
    <w:rsid w:val="00A7792E"/>
    <w:rsid w:val="00A77BCC"/>
    <w:rsid w:val="00A80357"/>
    <w:rsid w:val="00A86B5F"/>
    <w:rsid w:val="00A9221D"/>
    <w:rsid w:val="00A94340"/>
    <w:rsid w:val="00A97934"/>
    <w:rsid w:val="00A97E77"/>
    <w:rsid w:val="00AA077F"/>
    <w:rsid w:val="00AA07F8"/>
    <w:rsid w:val="00AA1E97"/>
    <w:rsid w:val="00AA222F"/>
    <w:rsid w:val="00AA322B"/>
    <w:rsid w:val="00AA3C0A"/>
    <w:rsid w:val="00AA54A8"/>
    <w:rsid w:val="00AB0630"/>
    <w:rsid w:val="00AB155B"/>
    <w:rsid w:val="00AB1F21"/>
    <w:rsid w:val="00AB4A0D"/>
    <w:rsid w:val="00AB7BE7"/>
    <w:rsid w:val="00AC006A"/>
    <w:rsid w:val="00AC11A6"/>
    <w:rsid w:val="00AC45FB"/>
    <w:rsid w:val="00AD4F82"/>
    <w:rsid w:val="00AD6278"/>
    <w:rsid w:val="00AE02C7"/>
    <w:rsid w:val="00AE1C36"/>
    <w:rsid w:val="00AE24A7"/>
    <w:rsid w:val="00AE2B92"/>
    <w:rsid w:val="00AF2257"/>
    <w:rsid w:val="00AF3D7C"/>
    <w:rsid w:val="00AF772F"/>
    <w:rsid w:val="00B020A5"/>
    <w:rsid w:val="00B02AD7"/>
    <w:rsid w:val="00B07CE2"/>
    <w:rsid w:val="00B100D3"/>
    <w:rsid w:val="00B14AA2"/>
    <w:rsid w:val="00B17849"/>
    <w:rsid w:val="00B178FD"/>
    <w:rsid w:val="00B17C7A"/>
    <w:rsid w:val="00B17C80"/>
    <w:rsid w:val="00B17F15"/>
    <w:rsid w:val="00B21436"/>
    <w:rsid w:val="00B23023"/>
    <w:rsid w:val="00B3106F"/>
    <w:rsid w:val="00B319C7"/>
    <w:rsid w:val="00B31FC8"/>
    <w:rsid w:val="00B35E4A"/>
    <w:rsid w:val="00B40134"/>
    <w:rsid w:val="00B40DEA"/>
    <w:rsid w:val="00B44692"/>
    <w:rsid w:val="00B50DCE"/>
    <w:rsid w:val="00B51D31"/>
    <w:rsid w:val="00B53B7C"/>
    <w:rsid w:val="00B53BBE"/>
    <w:rsid w:val="00B53D50"/>
    <w:rsid w:val="00B626C1"/>
    <w:rsid w:val="00B67550"/>
    <w:rsid w:val="00B738B0"/>
    <w:rsid w:val="00B742B6"/>
    <w:rsid w:val="00B74F10"/>
    <w:rsid w:val="00B85030"/>
    <w:rsid w:val="00B852C1"/>
    <w:rsid w:val="00B86E39"/>
    <w:rsid w:val="00B8745B"/>
    <w:rsid w:val="00B878E7"/>
    <w:rsid w:val="00B93377"/>
    <w:rsid w:val="00B93E29"/>
    <w:rsid w:val="00B95572"/>
    <w:rsid w:val="00BA03EE"/>
    <w:rsid w:val="00BA1D39"/>
    <w:rsid w:val="00BA2222"/>
    <w:rsid w:val="00BA26F9"/>
    <w:rsid w:val="00BA3B78"/>
    <w:rsid w:val="00BA4873"/>
    <w:rsid w:val="00BA5C99"/>
    <w:rsid w:val="00BA7E4D"/>
    <w:rsid w:val="00BB0DD7"/>
    <w:rsid w:val="00BB1253"/>
    <w:rsid w:val="00BB18FC"/>
    <w:rsid w:val="00BB19C7"/>
    <w:rsid w:val="00BB23FE"/>
    <w:rsid w:val="00BB4670"/>
    <w:rsid w:val="00BB588E"/>
    <w:rsid w:val="00BB7351"/>
    <w:rsid w:val="00BB7E8F"/>
    <w:rsid w:val="00BC3C31"/>
    <w:rsid w:val="00BD23EA"/>
    <w:rsid w:val="00BD2C8F"/>
    <w:rsid w:val="00BD429F"/>
    <w:rsid w:val="00BD5130"/>
    <w:rsid w:val="00BE28F2"/>
    <w:rsid w:val="00BE441F"/>
    <w:rsid w:val="00BE7237"/>
    <w:rsid w:val="00BF115A"/>
    <w:rsid w:val="00BF3162"/>
    <w:rsid w:val="00BF4804"/>
    <w:rsid w:val="00BF4ADF"/>
    <w:rsid w:val="00BF6D4A"/>
    <w:rsid w:val="00C003A6"/>
    <w:rsid w:val="00C035E9"/>
    <w:rsid w:val="00C03E7B"/>
    <w:rsid w:val="00C047CE"/>
    <w:rsid w:val="00C061B8"/>
    <w:rsid w:val="00C07D32"/>
    <w:rsid w:val="00C11204"/>
    <w:rsid w:val="00C11366"/>
    <w:rsid w:val="00C1661E"/>
    <w:rsid w:val="00C168EA"/>
    <w:rsid w:val="00C21E2E"/>
    <w:rsid w:val="00C241DD"/>
    <w:rsid w:val="00C252AF"/>
    <w:rsid w:val="00C263D5"/>
    <w:rsid w:val="00C26466"/>
    <w:rsid w:val="00C26A81"/>
    <w:rsid w:val="00C27486"/>
    <w:rsid w:val="00C27802"/>
    <w:rsid w:val="00C303CA"/>
    <w:rsid w:val="00C30AF4"/>
    <w:rsid w:val="00C35F36"/>
    <w:rsid w:val="00C36898"/>
    <w:rsid w:val="00C41D10"/>
    <w:rsid w:val="00C42808"/>
    <w:rsid w:val="00C4347B"/>
    <w:rsid w:val="00C45F24"/>
    <w:rsid w:val="00C5024D"/>
    <w:rsid w:val="00C51321"/>
    <w:rsid w:val="00C519FA"/>
    <w:rsid w:val="00C52B0F"/>
    <w:rsid w:val="00C544C0"/>
    <w:rsid w:val="00C5618D"/>
    <w:rsid w:val="00C57375"/>
    <w:rsid w:val="00C60F90"/>
    <w:rsid w:val="00C6139D"/>
    <w:rsid w:val="00C61E51"/>
    <w:rsid w:val="00C646EF"/>
    <w:rsid w:val="00C66DAA"/>
    <w:rsid w:val="00C71673"/>
    <w:rsid w:val="00C728C8"/>
    <w:rsid w:val="00C72CEE"/>
    <w:rsid w:val="00C746BA"/>
    <w:rsid w:val="00C759FD"/>
    <w:rsid w:val="00C76962"/>
    <w:rsid w:val="00C773DF"/>
    <w:rsid w:val="00C77446"/>
    <w:rsid w:val="00C813CA"/>
    <w:rsid w:val="00C84821"/>
    <w:rsid w:val="00C90F4A"/>
    <w:rsid w:val="00C90F5B"/>
    <w:rsid w:val="00C9237B"/>
    <w:rsid w:val="00C9238F"/>
    <w:rsid w:val="00C94488"/>
    <w:rsid w:val="00C97EC1"/>
    <w:rsid w:val="00C97EFA"/>
    <w:rsid w:val="00CA0779"/>
    <w:rsid w:val="00CA2577"/>
    <w:rsid w:val="00CA415C"/>
    <w:rsid w:val="00CA6C93"/>
    <w:rsid w:val="00CB0887"/>
    <w:rsid w:val="00CB25D9"/>
    <w:rsid w:val="00CB39BA"/>
    <w:rsid w:val="00CB54FE"/>
    <w:rsid w:val="00CB5B3E"/>
    <w:rsid w:val="00CB6987"/>
    <w:rsid w:val="00CC611B"/>
    <w:rsid w:val="00CC69EB"/>
    <w:rsid w:val="00CC75E7"/>
    <w:rsid w:val="00CD209A"/>
    <w:rsid w:val="00CD278E"/>
    <w:rsid w:val="00CD30F7"/>
    <w:rsid w:val="00CD39A3"/>
    <w:rsid w:val="00CD3E64"/>
    <w:rsid w:val="00CD5AC4"/>
    <w:rsid w:val="00CE560E"/>
    <w:rsid w:val="00CE5AE1"/>
    <w:rsid w:val="00CE6427"/>
    <w:rsid w:val="00CE7547"/>
    <w:rsid w:val="00CF119A"/>
    <w:rsid w:val="00CF1AAE"/>
    <w:rsid w:val="00CF2BCE"/>
    <w:rsid w:val="00CF39A4"/>
    <w:rsid w:val="00CF4EB6"/>
    <w:rsid w:val="00D01488"/>
    <w:rsid w:val="00D026AB"/>
    <w:rsid w:val="00D04333"/>
    <w:rsid w:val="00D04412"/>
    <w:rsid w:val="00D048D9"/>
    <w:rsid w:val="00D04BB3"/>
    <w:rsid w:val="00D0535A"/>
    <w:rsid w:val="00D07599"/>
    <w:rsid w:val="00D10230"/>
    <w:rsid w:val="00D10BDC"/>
    <w:rsid w:val="00D11906"/>
    <w:rsid w:val="00D126BC"/>
    <w:rsid w:val="00D14CDF"/>
    <w:rsid w:val="00D152C4"/>
    <w:rsid w:val="00D153EF"/>
    <w:rsid w:val="00D1787B"/>
    <w:rsid w:val="00D17E3E"/>
    <w:rsid w:val="00D23073"/>
    <w:rsid w:val="00D2676B"/>
    <w:rsid w:val="00D269D5"/>
    <w:rsid w:val="00D26B82"/>
    <w:rsid w:val="00D3040D"/>
    <w:rsid w:val="00D31D33"/>
    <w:rsid w:val="00D33C9E"/>
    <w:rsid w:val="00D35573"/>
    <w:rsid w:val="00D36C2F"/>
    <w:rsid w:val="00D37829"/>
    <w:rsid w:val="00D41248"/>
    <w:rsid w:val="00D415E6"/>
    <w:rsid w:val="00D4192E"/>
    <w:rsid w:val="00D42801"/>
    <w:rsid w:val="00D42D50"/>
    <w:rsid w:val="00D434D9"/>
    <w:rsid w:val="00D43CB5"/>
    <w:rsid w:val="00D46145"/>
    <w:rsid w:val="00D4722B"/>
    <w:rsid w:val="00D52DD1"/>
    <w:rsid w:val="00D54DA4"/>
    <w:rsid w:val="00D5634E"/>
    <w:rsid w:val="00D60E17"/>
    <w:rsid w:val="00D616B8"/>
    <w:rsid w:val="00D62211"/>
    <w:rsid w:val="00D65359"/>
    <w:rsid w:val="00D65388"/>
    <w:rsid w:val="00D7032B"/>
    <w:rsid w:val="00D73152"/>
    <w:rsid w:val="00D73C1B"/>
    <w:rsid w:val="00D74F8E"/>
    <w:rsid w:val="00D80CD8"/>
    <w:rsid w:val="00D84999"/>
    <w:rsid w:val="00D861E3"/>
    <w:rsid w:val="00D87C71"/>
    <w:rsid w:val="00D90AED"/>
    <w:rsid w:val="00D90DCD"/>
    <w:rsid w:val="00D91E2C"/>
    <w:rsid w:val="00D9499B"/>
    <w:rsid w:val="00D96CAF"/>
    <w:rsid w:val="00DA1E50"/>
    <w:rsid w:val="00DA220D"/>
    <w:rsid w:val="00DA2D73"/>
    <w:rsid w:val="00DA2F53"/>
    <w:rsid w:val="00DA3098"/>
    <w:rsid w:val="00DA4ABA"/>
    <w:rsid w:val="00DA4B25"/>
    <w:rsid w:val="00DA5B72"/>
    <w:rsid w:val="00DA6858"/>
    <w:rsid w:val="00DB174B"/>
    <w:rsid w:val="00DB2F85"/>
    <w:rsid w:val="00DB365E"/>
    <w:rsid w:val="00DB3DCC"/>
    <w:rsid w:val="00DB5B6E"/>
    <w:rsid w:val="00DB5E3E"/>
    <w:rsid w:val="00DC1195"/>
    <w:rsid w:val="00DC1C01"/>
    <w:rsid w:val="00DC1CB8"/>
    <w:rsid w:val="00DC3467"/>
    <w:rsid w:val="00DC3EAD"/>
    <w:rsid w:val="00DD10D1"/>
    <w:rsid w:val="00DD113E"/>
    <w:rsid w:val="00DD160C"/>
    <w:rsid w:val="00DD2452"/>
    <w:rsid w:val="00DD26DF"/>
    <w:rsid w:val="00DD3B65"/>
    <w:rsid w:val="00DD3D50"/>
    <w:rsid w:val="00DD6FD4"/>
    <w:rsid w:val="00DD7C85"/>
    <w:rsid w:val="00DE274C"/>
    <w:rsid w:val="00DE3E05"/>
    <w:rsid w:val="00DE5807"/>
    <w:rsid w:val="00DE6573"/>
    <w:rsid w:val="00DF0E17"/>
    <w:rsid w:val="00DF1429"/>
    <w:rsid w:val="00DF27D2"/>
    <w:rsid w:val="00DF4C63"/>
    <w:rsid w:val="00DF67FF"/>
    <w:rsid w:val="00DF6C4F"/>
    <w:rsid w:val="00DF6C7D"/>
    <w:rsid w:val="00DF7A5B"/>
    <w:rsid w:val="00DF7C69"/>
    <w:rsid w:val="00E03005"/>
    <w:rsid w:val="00E03DB0"/>
    <w:rsid w:val="00E05710"/>
    <w:rsid w:val="00E07628"/>
    <w:rsid w:val="00E107CD"/>
    <w:rsid w:val="00E10973"/>
    <w:rsid w:val="00E10CD6"/>
    <w:rsid w:val="00E15B0C"/>
    <w:rsid w:val="00E2309D"/>
    <w:rsid w:val="00E233C9"/>
    <w:rsid w:val="00E23EB4"/>
    <w:rsid w:val="00E244DF"/>
    <w:rsid w:val="00E2734E"/>
    <w:rsid w:val="00E27690"/>
    <w:rsid w:val="00E3031F"/>
    <w:rsid w:val="00E31252"/>
    <w:rsid w:val="00E32D8D"/>
    <w:rsid w:val="00E35F1E"/>
    <w:rsid w:val="00E35F8C"/>
    <w:rsid w:val="00E35FAE"/>
    <w:rsid w:val="00E36BB2"/>
    <w:rsid w:val="00E375E6"/>
    <w:rsid w:val="00E4207C"/>
    <w:rsid w:val="00E42712"/>
    <w:rsid w:val="00E42BE5"/>
    <w:rsid w:val="00E432A6"/>
    <w:rsid w:val="00E4351F"/>
    <w:rsid w:val="00E44507"/>
    <w:rsid w:val="00E446B2"/>
    <w:rsid w:val="00E47539"/>
    <w:rsid w:val="00E52F46"/>
    <w:rsid w:val="00E53E97"/>
    <w:rsid w:val="00E54D7A"/>
    <w:rsid w:val="00E55DAA"/>
    <w:rsid w:val="00E60A4A"/>
    <w:rsid w:val="00E616D3"/>
    <w:rsid w:val="00E6203E"/>
    <w:rsid w:val="00E673BA"/>
    <w:rsid w:val="00E70205"/>
    <w:rsid w:val="00E729E3"/>
    <w:rsid w:val="00E72F77"/>
    <w:rsid w:val="00E7548E"/>
    <w:rsid w:val="00E764C4"/>
    <w:rsid w:val="00E817E7"/>
    <w:rsid w:val="00E82CEA"/>
    <w:rsid w:val="00E844C8"/>
    <w:rsid w:val="00E849B3"/>
    <w:rsid w:val="00E90926"/>
    <w:rsid w:val="00E90B8F"/>
    <w:rsid w:val="00E91777"/>
    <w:rsid w:val="00E93157"/>
    <w:rsid w:val="00E94837"/>
    <w:rsid w:val="00E9508B"/>
    <w:rsid w:val="00E97029"/>
    <w:rsid w:val="00EA0B92"/>
    <w:rsid w:val="00EA1828"/>
    <w:rsid w:val="00EA38F4"/>
    <w:rsid w:val="00EA6AC1"/>
    <w:rsid w:val="00EB57D1"/>
    <w:rsid w:val="00EC11EC"/>
    <w:rsid w:val="00EC3C8C"/>
    <w:rsid w:val="00EC54AD"/>
    <w:rsid w:val="00ED2842"/>
    <w:rsid w:val="00ED3048"/>
    <w:rsid w:val="00ED5BDC"/>
    <w:rsid w:val="00EE171C"/>
    <w:rsid w:val="00EE2391"/>
    <w:rsid w:val="00EE5E81"/>
    <w:rsid w:val="00EE6665"/>
    <w:rsid w:val="00EE6C57"/>
    <w:rsid w:val="00EF45C3"/>
    <w:rsid w:val="00EF4DB1"/>
    <w:rsid w:val="00EF75B1"/>
    <w:rsid w:val="00F006C8"/>
    <w:rsid w:val="00F00F08"/>
    <w:rsid w:val="00F019B2"/>
    <w:rsid w:val="00F041A0"/>
    <w:rsid w:val="00F0507F"/>
    <w:rsid w:val="00F058B0"/>
    <w:rsid w:val="00F05CFA"/>
    <w:rsid w:val="00F06CDB"/>
    <w:rsid w:val="00F07717"/>
    <w:rsid w:val="00F07BC5"/>
    <w:rsid w:val="00F1183D"/>
    <w:rsid w:val="00F139E4"/>
    <w:rsid w:val="00F15C8C"/>
    <w:rsid w:val="00F163AB"/>
    <w:rsid w:val="00F164C8"/>
    <w:rsid w:val="00F166C0"/>
    <w:rsid w:val="00F20A65"/>
    <w:rsid w:val="00F2667A"/>
    <w:rsid w:val="00F26778"/>
    <w:rsid w:val="00F274D9"/>
    <w:rsid w:val="00F27613"/>
    <w:rsid w:val="00F30F77"/>
    <w:rsid w:val="00F31ED9"/>
    <w:rsid w:val="00F326AD"/>
    <w:rsid w:val="00F33452"/>
    <w:rsid w:val="00F337C8"/>
    <w:rsid w:val="00F36711"/>
    <w:rsid w:val="00F41CB6"/>
    <w:rsid w:val="00F431E9"/>
    <w:rsid w:val="00F50B2F"/>
    <w:rsid w:val="00F51CF7"/>
    <w:rsid w:val="00F52C71"/>
    <w:rsid w:val="00F544C9"/>
    <w:rsid w:val="00F5524A"/>
    <w:rsid w:val="00F55A0A"/>
    <w:rsid w:val="00F5678F"/>
    <w:rsid w:val="00F57C09"/>
    <w:rsid w:val="00F6070D"/>
    <w:rsid w:val="00F62BA5"/>
    <w:rsid w:val="00F6323B"/>
    <w:rsid w:val="00F644CC"/>
    <w:rsid w:val="00F65E01"/>
    <w:rsid w:val="00F6631E"/>
    <w:rsid w:val="00F677CE"/>
    <w:rsid w:val="00F70919"/>
    <w:rsid w:val="00F72187"/>
    <w:rsid w:val="00F73B72"/>
    <w:rsid w:val="00F803CD"/>
    <w:rsid w:val="00F81726"/>
    <w:rsid w:val="00F8247F"/>
    <w:rsid w:val="00F834C3"/>
    <w:rsid w:val="00F83ABD"/>
    <w:rsid w:val="00F863DF"/>
    <w:rsid w:val="00F86F27"/>
    <w:rsid w:val="00F86FED"/>
    <w:rsid w:val="00F874E3"/>
    <w:rsid w:val="00F90AAD"/>
    <w:rsid w:val="00F91061"/>
    <w:rsid w:val="00F96BDB"/>
    <w:rsid w:val="00F96D55"/>
    <w:rsid w:val="00F974C6"/>
    <w:rsid w:val="00F97582"/>
    <w:rsid w:val="00F97BCE"/>
    <w:rsid w:val="00FA1FFE"/>
    <w:rsid w:val="00FA3710"/>
    <w:rsid w:val="00FA444F"/>
    <w:rsid w:val="00FA522E"/>
    <w:rsid w:val="00FA5ABF"/>
    <w:rsid w:val="00FA7DB1"/>
    <w:rsid w:val="00FB05B9"/>
    <w:rsid w:val="00FB17B2"/>
    <w:rsid w:val="00FB1A85"/>
    <w:rsid w:val="00FB4A1B"/>
    <w:rsid w:val="00FC3C84"/>
    <w:rsid w:val="00FC4A8F"/>
    <w:rsid w:val="00FD0CCB"/>
    <w:rsid w:val="00FD222B"/>
    <w:rsid w:val="00FD60F7"/>
    <w:rsid w:val="00FD638B"/>
    <w:rsid w:val="00FE3C5E"/>
    <w:rsid w:val="00FE4446"/>
    <w:rsid w:val="00FE6CDF"/>
    <w:rsid w:val="00FF2B58"/>
    <w:rsid w:val="00FF45AC"/>
    <w:rsid w:val="00FF51BC"/>
    <w:rsid w:val="00FF6A8F"/>
    <w:rsid w:val="00FF6DD6"/>
    <w:rsid w:val="03773471"/>
    <w:rsid w:val="03A05C4D"/>
    <w:rsid w:val="05E62F74"/>
    <w:rsid w:val="08057C45"/>
    <w:rsid w:val="0C0B49F8"/>
    <w:rsid w:val="0C7C4693"/>
    <w:rsid w:val="0CA37CD2"/>
    <w:rsid w:val="0CB1549C"/>
    <w:rsid w:val="13064DC7"/>
    <w:rsid w:val="136C3A80"/>
    <w:rsid w:val="14D12EC8"/>
    <w:rsid w:val="165873EE"/>
    <w:rsid w:val="16C52620"/>
    <w:rsid w:val="16F60566"/>
    <w:rsid w:val="17067105"/>
    <w:rsid w:val="184A42DA"/>
    <w:rsid w:val="19866CCF"/>
    <w:rsid w:val="198E5CEA"/>
    <w:rsid w:val="1C7D091A"/>
    <w:rsid w:val="21241B43"/>
    <w:rsid w:val="22811FC6"/>
    <w:rsid w:val="27633AD7"/>
    <w:rsid w:val="27F37C9C"/>
    <w:rsid w:val="2985140B"/>
    <w:rsid w:val="29AF6ED0"/>
    <w:rsid w:val="2C5C69B0"/>
    <w:rsid w:val="2D6A457B"/>
    <w:rsid w:val="2DE00239"/>
    <w:rsid w:val="2E3F14C3"/>
    <w:rsid w:val="2EFF560B"/>
    <w:rsid w:val="30D07091"/>
    <w:rsid w:val="30F755D7"/>
    <w:rsid w:val="32CD2182"/>
    <w:rsid w:val="35397235"/>
    <w:rsid w:val="35B2277A"/>
    <w:rsid w:val="37AA5AF1"/>
    <w:rsid w:val="380E382E"/>
    <w:rsid w:val="39B17E41"/>
    <w:rsid w:val="3BC4190F"/>
    <w:rsid w:val="3E681C3C"/>
    <w:rsid w:val="3E8D4546"/>
    <w:rsid w:val="3F5208CE"/>
    <w:rsid w:val="3F926272"/>
    <w:rsid w:val="4170415F"/>
    <w:rsid w:val="427F3D1F"/>
    <w:rsid w:val="43402DD8"/>
    <w:rsid w:val="46331317"/>
    <w:rsid w:val="471F4900"/>
    <w:rsid w:val="48A26394"/>
    <w:rsid w:val="4996053F"/>
    <w:rsid w:val="4A847B81"/>
    <w:rsid w:val="4B2D31D2"/>
    <w:rsid w:val="4C290D8E"/>
    <w:rsid w:val="4D6E266E"/>
    <w:rsid w:val="4E821B43"/>
    <w:rsid w:val="4F727AA0"/>
    <w:rsid w:val="4FD875F3"/>
    <w:rsid w:val="4FEA2D0C"/>
    <w:rsid w:val="50006239"/>
    <w:rsid w:val="51787CEA"/>
    <w:rsid w:val="518935C8"/>
    <w:rsid w:val="51AF2972"/>
    <w:rsid w:val="52F758A1"/>
    <w:rsid w:val="55E757EC"/>
    <w:rsid w:val="564922B0"/>
    <w:rsid w:val="57FA29A9"/>
    <w:rsid w:val="587C6998"/>
    <w:rsid w:val="58C33338"/>
    <w:rsid w:val="59F147C0"/>
    <w:rsid w:val="5A6022B8"/>
    <w:rsid w:val="5B1E34ED"/>
    <w:rsid w:val="60C24FF9"/>
    <w:rsid w:val="67462D47"/>
    <w:rsid w:val="682E6C9D"/>
    <w:rsid w:val="68F60090"/>
    <w:rsid w:val="68F95A9E"/>
    <w:rsid w:val="6A4924D0"/>
    <w:rsid w:val="6C874376"/>
    <w:rsid w:val="6EDA6C33"/>
    <w:rsid w:val="6FC36BD0"/>
    <w:rsid w:val="725D17DB"/>
    <w:rsid w:val="744C77F0"/>
    <w:rsid w:val="753F6518"/>
    <w:rsid w:val="75D66BB2"/>
    <w:rsid w:val="774560FC"/>
    <w:rsid w:val="79817A2A"/>
    <w:rsid w:val="7D1B4290"/>
    <w:rsid w:val="7D576B55"/>
    <w:rsid w:val="7ED946F8"/>
    <w:rsid w:val="7FA73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8A9A25"/>
  <w15:docId w15:val="{C1B906AF-A39F-4ABC-B6FC-1E270D0D6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semiHidden="1" w:unhideWhenUsed="1"/>
    <w:lsdException w:name="envelope address" w:uiPriority="0" w:qFormat="1"/>
    <w:lsdException w:name="envelope return" w:uiPriority="0" w:qFormat="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uiPriority="0" w:qFormat="1"/>
    <w:lsdException w:name="table of authorities" w:semiHidden="1" w:uiPriority="0" w:qFormat="1"/>
    <w:lsdException w:name="macro" w:semiHidden="1" w:unhideWhenUsed="1"/>
    <w:lsdException w:name="toa heading" w:semiHidden="1" w:uiPriority="0" w:qFormat="1"/>
    <w:lsdException w:name="List" w:uiPriority="0" w:qFormat="1"/>
    <w:lsdException w:name="List Bullet" w:uiPriority="0" w:qFormat="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22" w:qFormat="1"/>
    <w:lsdException w:name="Emphasis" w:uiPriority="0" w:qFormat="1"/>
    <w:lsdException w:name="Document Map" w:uiPriority="0" w:qFormat="1"/>
    <w:lsdException w:name="Plain Text" w:uiPriority="0" w:qFormat="1"/>
    <w:lsdException w:name="E-mail Signature" w:uiPriority="0" w:qFormat="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6" w:lineRule="auto"/>
      <w:outlineLvl w:val="0"/>
    </w:pPr>
    <w:rPr>
      <w:b/>
      <w:bCs/>
      <w:kern w:val="44"/>
      <w:sz w:val="44"/>
      <w:szCs w:val="44"/>
    </w:rPr>
  </w:style>
  <w:style w:type="paragraph" w:styleId="21">
    <w:name w:val="heading 2"/>
    <w:basedOn w:val="a1"/>
    <w:next w:val="a1"/>
    <w:link w:val="22"/>
    <w:qFormat/>
    <w:pPr>
      <w:keepNext/>
      <w:keepLines/>
      <w:numPr>
        <w:ilvl w:val="1"/>
        <w:numId w:val="1"/>
      </w:numPr>
      <w:spacing w:before="260" w:after="260" w:line="415" w:lineRule="auto"/>
      <w:outlineLvl w:val="1"/>
    </w:pPr>
    <w:rPr>
      <w:rFonts w:ascii="Arial" w:eastAsia="黑体" w:hAnsi="Arial"/>
      <w:b/>
      <w:bCs/>
      <w:sz w:val="32"/>
      <w:szCs w:val="32"/>
    </w:rPr>
  </w:style>
  <w:style w:type="paragraph" w:styleId="3">
    <w:name w:val="heading 3"/>
    <w:basedOn w:val="a1"/>
    <w:next w:val="a1"/>
    <w:link w:val="30"/>
    <w:qFormat/>
    <w:pPr>
      <w:keepNext/>
      <w:keepLines/>
      <w:numPr>
        <w:ilvl w:val="2"/>
        <w:numId w:val="1"/>
      </w:numPr>
      <w:spacing w:before="260" w:after="260" w:line="415" w:lineRule="auto"/>
      <w:outlineLvl w:val="2"/>
    </w:pPr>
    <w:rPr>
      <w:b/>
      <w:bCs/>
      <w:sz w:val="32"/>
      <w:szCs w:val="32"/>
    </w:rPr>
  </w:style>
  <w:style w:type="paragraph" w:styleId="4">
    <w:name w:val="heading 4"/>
    <w:basedOn w:val="a1"/>
    <w:next w:val="a1"/>
    <w:link w:val="40"/>
    <w:qFormat/>
    <w:pPr>
      <w:keepNext/>
      <w:keepLines/>
      <w:numPr>
        <w:ilvl w:val="3"/>
        <w:numId w:val="1"/>
      </w:numPr>
      <w:autoSpaceDE w:val="0"/>
      <w:autoSpaceDN w:val="0"/>
      <w:adjustRightInd w:val="0"/>
      <w:spacing w:before="280" w:after="290" w:line="374" w:lineRule="auto"/>
      <w:outlineLvl w:val="3"/>
    </w:pPr>
    <w:rPr>
      <w:rFonts w:ascii="Arial" w:eastAsia="黑体" w:hAnsi="Arial"/>
      <w:b/>
      <w:kern w:val="0"/>
      <w:sz w:val="28"/>
      <w:szCs w:val="20"/>
    </w:rPr>
  </w:style>
  <w:style w:type="paragraph" w:styleId="5">
    <w:name w:val="heading 5"/>
    <w:basedOn w:val="a1"/>
    <w:next w:val="a1"/>
    <w:link w:val="50"/>
    <w:qFormat/>
    <w:pPr>
      <w:keepNext/>
      <w:keepLines/>
      <w:numPr>
        <w:ilvl w:val="4"/>
        <w:numId w:val="1"/>
      </w:numPr>
      <w:autoSpaceDE w:val="0"/>
      <w:autoSpaceDN w:val="0"/>
      <w:adjustRightInd w:val="0"/>
      <w:spacing w:before="280" w:after="290" w:line="374" w:lineRule="auto"/>
      <w:outlineLvl w:val="4"/>
    </w:pPr>
    <w:rPr>
      <w:rFonts w:ascii="宋体" w:hint="eastAsia"/>
      <w:b/>
      <w:kern w:val="0"/>
      <w:sz w:val="28"/>
      <w:szCs w:val="20"/>
    </w:rPr>
  </w:style>
  <w:style w:type="paragraph" w:styleId="6">
    <w:name w:val="heading 6"/>
    <w:basedOn w:val="a1"/>
    <w:next w:val="a1"/>
    <w:link w:val="60"/>
    <w:qFormat/>
    <w:pPr>
      <w:keepNext/>
      <w:keepLines/>
      <w:numPr>
        <w:ilvl w:val="5"/>
        <w:numId w:val="1"/>
      </w:numPr>
      <w:autoSpaceDE w:val="0"/>
      <w:autoSpaceDN w:val="0"/>
      <w:adjustRightInd w:val="0"/>
      <w:spacing w:before="240" w:after="64" w:line="319" w:lineRule="auto"/>
      <w:outlineLvl w:val="5"/>
    </w:pPr>
    <w:rPr>
      <w:rFonts w:ascii="Arial" w:eastAsia="黑体" w:hAnsi="Arial"/>
      <w:b/>
      <w:kern w:val="0"/>
      <w:sz w:val="24"/>
      <w:szCs w:val="20"/>
    </w:rPr>
  </w:style>
  <w:style w:type="paragraph" w:styleId="7">
    <w:name w:val="heading 7"/>
    <w:basedOn w:val="a1"/>
    <w:next w:val="a1"/>
    <w:link w:val="70"/>
    <w:qFormat/>
    <w:pPr>
      <w:keepNext/>
      <w:keepLines/>
      <w:numPr>
        <w:ilvl w:val="6"/>
        <w:numId w:val="1"/>
      </w:numPr>
      <w:autoSpaceDE w:val="0"/>
      <w:autoSpaceDN w:val="0"/>
      <w:adjustRightInd w:val="0"/>
      <w:spacing w:before="240" w:after="64" w:line="319" w:lineRule="auto"/>
      <w:outlineLvl w:val="6"/>
    </w:pPr>
    <w:rPr>
      <w:rFonts w:ascii="宋体" w:hint="eastAsia"/>
      <w:b/>
      <w:kern w:val="0"/>
      <w:sz w:val="24"/>
      <w:szCs w:val="20"/>
    </w:rPr>
  </w:style>
  <w:style w:type="paragraph" w:styleId="8">
    <w:name w:val="heading 8"/>
    <w:basedOn w:val="a1"/>
    <w:next w:val="a1"/>
    <w:link w:val="80"/>
    <w:qFormat/>
    <w:pPr>
      <w:keepNext/>
      <w:keepLines/>
      <w:numPr>
        <w:ilvl w:val="7"/>
        <w:numId w:val="1"/>
      </w:numPr>
      <w:autoSpaceDE w:val="0"/>
      <w:autoSpaceDN w:val="0"/>
      <w:adjustRightInd w:val="0"/>
      <w:spacing w:before="240" w:after="64" w:line="319" w:lineRule="auto"/>
      <w:outlineLvl w:val="7"/>
    </w:pPr>
    <w:rPr>
      <w:rFonts w:ascii="Arial" w:eastAsia="黑体" w:hAnsi="Arial"/>
      <w:kern w:val="0"/>
      <w:sz w:val="24"/>
      <w:szCs w:val="20"/>
    </w:rPr>
  </w:style>
  <w:style w:type="paragraph" w:styleId="9">
    <w:name w:val="heading 9"/>
    <w:basedOn w:val="a1"/>
    <w:next w:val="a1"/>
    <w:link w:val="90"/>
    <w:qFormat/>
    <w:pPr>
      <w:keepNext/>
      <w:keepLines/>
      <w:numPr>
        <w:ilvl w:val="8"/>
        <w:numId w:val="1"/>
      </w:numPr>
      <w:autoSpaceDE w:val="0"/>
      <w:autoSpaceDN w:val="0"/>
      <w:adjustRightInd w:val="0"/>
      <w:spacing w:before="240" w:after="64" w:line="319" w:lineRule="auto"/>
      <w:outlineLvl w:val="8"/>
    </w:pPr>
    <w:rPr>
      <w:rFonts w:ascii="Arial" w:eastAsia="黑体" w:hAnsi="Arial"/>
      <w:kern w:val="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1">
    <w:name w:val="toc 7"/>
    <w:basedOn w:val="a1"/>
    <w:next w:val="a1"/>
    <w:uiPriority w:val="39"/>
    <w:qFormat/>
    <w:pPr>
      <w:ind w:left="1260"/>
      <w:jc w:val="left"/>
    </w:pPr>
    <w:rPr>
      <w:szCs w:val="21"/>
    </w:rPr>
  </w:style>
  <w:style w:type="paragraph" w:styleId="a5">
    <w:name w:val="table of authorities"/>
    <w:basedOn w:val="AONormal"/>
    <w:next w:val="a1"/>
    <w:semiHidden/>
    <w:qFormat/>
    <w:pPr>
      <w:tabs>
        <w:tab w:val="right" w:leader="dot" w:pos="9490"/>
      </w:tabs>
      <w:spacing w:before="240" w:line="240" w:lineRule="auto"/>
      <w:ind w:left="720" w:hanging="720"/>
    </w:pPr>
  </w:style>
  <w:style w:type="paragraph" w:customStyle="1" w:styleId="AONormal">
    <w:name w:val="AONormal"/>
    <w:qFormat/>
    <w:pPr>
      <w:spacing w:line="260" w:lineRule="atLeast"/>
    </w:pPr>
    <w:rPr>
      <w:sz w:val="22"/>
      <w:szCs w:val="22"/>
      <w:lang w:val="en-GB" w:eastAsia="en-US"/>
    </w:rPr>
  </w:style>
  <w:style w:type="paragraph" w:styleId="a6">
    <w:name w:val="E-mail Signature"/>
    <w:basedOn w:val="a1"/>
    <w:link w:val="a7"/>
    <w:qFormat/>
    <w:pPr>
      <w:widowControl/>
    </w:pPr>
    <w:rPr>
      <w:kern w:val="0"/>
      <w:szCs w:val="21"/>
    </w:rPr>
  </w:style>
  <w:style w:type="paragraph" w:styleId="a">
    <w:name w:val="List Number"/>
    <w:basedOn w:val="a8"/>
    <w:qFormat/>
    <w:pPr>
      <w:numPr>
        <w:numId w:val="2"/>
      </w:numPr>
      <w:ind w:right="720"/>
    </w:pPr>
  </w:style>
  <w:style w:type="paragraph" w:styleId="a8">
    <w:name w:val="List"/>
    <w:basedOn w:val="a9"/>
    <w:qFormat/>
    <w:pPr>
      <w:widowControl/>
      <w:spacing w:after="240" w:line="240" w:lineRule="atLeast"/>
      <w:ind w:left="720" w:hanging="360"/>
      <w:jc w:val="left"/>
    </w:pPr>
    <w:rPr>
      <w:rFonts w:eastAsia="PMingLiU"/>
      <w:kern w:val="0"/>
      <w:szCs w:val="20"/>
      <w:lang w:eastAsia="en-US"/>
    </w:rPr>
  </w:style>
  <w:style w:type="paragraph" w:styleId="a9">
    <w:name w:val="Body Text"/>
    <w:basedOn w:val="a1"/>
    <w:link w:val="aa"/>
    <w:qFormat/>
    <w:pPr>
      <w:spacing w:line="360" w:lineRule="auto"/>
    </w:pPr>
    <w:rPr>
      <w:sz w:val="24"/>
    </w:rPr>
  </w:style>
  <w:style w:type="paragraph" w:styleId="ab">
    <w:name w:val="Normal Indent"/>
    <w:basedOn w:val="a1"/>
    <w:qFormat/>
    <w:pPr>
      <w:ind w:firstLine="420"/>
    </w:pPr>
    <w:rPr>
      <w:szCs w:val="20"/>
    </w:rPr>
  </w:style>
  <w:style w:type="paragraph" w:styleId="ac">
    <w:name w:val="caption"/>
    <w:basedOn w:val="a1"/>
    <w:next w:val="a1"/>
    <w:qFormat/>
    <w:pPr>
      <w:adjustRightInd w:val="0"/>
      <w:spacing w:before="152" w:after="160" w:line="360" w:lineRule="auto"/>
      <w:ind w:firstLineChars="200" w:firstLine="567"/>
    </w:pPr>
    <w:rPr>
      <w:rFonts w:ascii="Arial" w:eastAsia="黑体" w:hAnsi="Arial"/>
      <w:sz w:val="24"/>
      <w:szCs w:val="20"/>
    </w:rPr>
  </w:style>
  <w:style w:type="paragraph" w:styleId="a0">
    <w:name w:val="List Bullet"/>
    <w:basedOn w:val="a8"/>
    <w:qFormat/>
    <w:pPr>
      <w:numPr>
        <w:numId w:val="3"/>
      </w:numPr>
      <w:ind w:right="720"/>
    </w:pPr>
  </w:style>
  <w:style w:type="paragraph" w:styleId="ad">
    <w:name w:val="envelope address"/>
    <w:basedOn w:val="a1"/>
    <w:qFormat/>
    <w:pPr>
      <w:framePr w:w="7920" w:h="1980" w:hRule="exact" w:hSpace="180" w:wrap="around" w:hAnchor="page" w:xAlign="center" w:yAlign="bottom"/>
      <w:ind w:left="2880"/>
    </w:pPr>
    <w:rPr>
      <w:rFonts w:cs="Arial"/>
      <w:szCs w:val="22"/>
    </w:rPr>
  </w:style>
  <w:style w:type="paragraph" w:styleId="ae">
    <w:name w:val="Document Map"/>
    <w:basedOn w:val="a1"/>
    <w:link w:val="af"/>
    <w:qFormat/>
    <w:pPr>
      <w:shd w:val="clear" w:color="auto" w:fill="000080"/>
    </w:pPr>
  </w:style>
  <w:style w:type="paragraph" w:styleId="af0">
    <w:name w:val="toa heading"/>
    <w:basedOn w:val="AONormal"/>
    <w:next w:val="a5"/>
    <w:semiHidden/>
    <w:qFormat/>
    <w:pPr>
      <w:tabs>
        <w:tab w:val="right" w:pos="9490"/>
      </w:tabs>
      <w:spacing w:before="240" w:after="120" w:line="240" w:lineRule="auto"/>
    </w:pPr>
    <w:rPr>
      <w:b/>
    </w:rPr>
  </w:style>
  <w:style w:type="paragraph" w:styleId="af1">
    <w:name w:val="annotation text"/>
    <w:basedOn w:val="a1"/>
    <w:link w:val="af2"/>
    <w:qFormat/>
    <w:pPr>
      <w:jc w:val="left"/>
    </w:pPr>
    <w:rPr>
      <w:sz w:val="24"/>
      <w:szCs w:val="20"/>
    </w:rPr>
  </w:style>
  <w:style w:type="paragraph" w:styleId="31">
    <w:name w:val="Body Text 3"/>
    <w:basedOn w:val="a1"/>
    <w:link w:val="32"/>
    <w:qFormat/>
    <w:pPr>
      <w:autoSpaceDE w:val="0"/>
      <w:autoSpaceDN w:val="0"/>
      <w:adjustRightInd w:val="0"/>
      <w:spacing w:after="120" w:line="360" w:lineRule="auto"/>
    </w:pPr>
    <w:rPr>
      <w:kern w:val="0"/>
      <w:sz w:val="24"/>
      <w:szCs w:val="20"/>
      <w:u w:val="single"/>
    </w:rPr>
  </w:style>
  <w:style w:type="paragraph" w:styleId="af3">
    <w:name w:val="Body Text Indent"/>
    <w:basedOn w:val="a1"/>
    <w:link w:val="af4"/>
    <w:qFormat/>
    <w:pPr>
      <w:autoSpaceDE w:val="0"/>
      <w:autoSpaceDN w:val="0"/>
      <w:adjustRightInd w:val="0"/>
      <w:spacing w:after="120" w:line="440" w:lineRule="atLeast"/>
      <w:ind w:firstLine="539"/>
    </w:pPr>
    <w:rPr>
      <w:rFonts w:ascii="宋体" w:hint="eastAsia"/>
      <w:kern w:val="0"/>
      <w:sz w:val="24"/>
      <w:szCs w:val="20"/>
    </w:rPr>
  </w:style>
  <w:style w:type="paragraph" w:styleId="51">
    <w:name w:val="toc 5"/>
    <w:basedOn w:val="a1"/>
    <w:next w:val="a1"/>
    <w:uiPriority w:val="39"/>
    <w:qFormat/>
    <w:pPr>
      <w:ind w:left="840"/>
      <w:jc w:val="left"/>
    </w:pPr>
    <w:rPr>
      <w:szCs w:val="21"/>
    </w:rPr>
  </w:style>
  <w:style w:type="paragraph" w:styleId="33">
    <w:name w:val="toc 3"/>
    <w:basedOn w:val="a1"/>
    <w:next w:val="a1"/>
    <w:uiPriority w:val="39"/>
    <w:qFormat/>
    <w:pPr>
      <w:ind w:left="420"/>
      <w:jc w:val="left"/>
    </w:pPr>
    <w:rPr>
      <w:szCs w:val="21"/>
    </w:rPr>
  </w:style>
  <w:style w:type="paragraph" w:styleId="af5">
    <w:name w:val="Plain Text"/>
    <w:basedOn w:val="a1"/>
    <w:link w:val="af6"/>
    <w:qFormat/>
    <w:rPr>
      <w:rFonts w:ascii="宋体" w:hAnsi="Courier New" w:hint="eastAsia"/>
      <w:szCs w:val="20"/>
    </w:rPr>
  </w:style>
  <w:style w:type="paragraph" w:styleId="81">
    <w:name w:val="toc 8"/>
    <w:basedOn w:val="a1"/>
    <w:next w:val="a1"/>
    <w:uiPriority w:val="39"/>
    <w:qFormat/>
    <w:pPr>
      <w:ind w:left="1470"/>
      <w:jc w:val="left"/>
    </w:pPr>
    <w:rPr>
      <w:szCs w:val="21"/>
    </w:rPr>
  </w:style>
  <w:style w:type="paragraph" w:styleId="af7">
    <w:name w:val="Date"/>
    <w:basedOn w:val="a1"/>
    <w:next w:val="a1"/>
    <w:link w:val="af8"/>
    <w:qFormat/>
    <w:pPr>
      <w:ind w:leftChars="2500" w:left="2500"/>
    </w:pPr>
    <w:rPr>
      <w:rFonts w:ascii="宋体" w:eastAsia="仿宋_GB2312" w:hAnsi="宋体" w:hint="eastAsia"/>
      <w:sz w:val="28"/>
    </w:rPr>
  </w:style>
  <w:style w:type="paragraph" w:styleId="23">
    <w:name w:val="Body Text Indent 2"/>
    <w:basedOn w:val="a1"/>
    <w:link w:val="24"/>
    <w:qFormat/>
    <w:pPr>
      <w:spacing w:line="360" w:lineRule="auto"/>
      <w:ind w:firstLineChars="200" w:firstLine="560"/>
    </w:pPr>
    <w:rPr>
      <w:rFonts w:eastAsia="仿宋_GB2312"/>
      <w:sz w:val="28"/>
    </w:rPr>
  </w:style>
  <w:style w:type="paragraph" w:styleId="af9">
    <w:name w:val="endnote text"/>
    <w:basedOn w:val="AONormal"/>
    <w:link w:val="afa"/>
    <w:qFormat/>
    <w:pPr>
      <w:spacing w:line="240" w:lineRule="auto"/>
      <w:ind w:left="720" w:hanging="720"/>
    </w:pPr>
    <w:rPr>
      <w:sz w:val="16"/>
    </w:rPr>
  </w:style>
  <w:style w:type="paragraph" w:styleId="afb">
    <w:name w:val="Balloon Text"/>
    <w:basedOn w:val="a1"/>
    <w:link w:val="afc"/>
    <w:qFormat/>
    <w:rPr>
      <w:sz w:val="18"/>
      <w:szCs w:val="18"/>
    </w:rPr>
  </w:style>
  <w:style w:type="paragraph" w:styleId="afd">
    <w:name w:val="footer"/>
    <w:basedOn w:val="a1"/>
    <w:link w:val="afe"/>
    <w:uiPriority w:val="99"/>
    <w:qFormat/>
    <w:pPr>
      <w:tabs>
        <w:tab w:val="center" w:pos="4153"/>
        <w:tab w:val="right" w:pos="8306"/>
      </w:tabs>
      <w:snapToGrid w:val="0"/>
      <w:jc w:val="left"/>
    </w:pPr>
    <w:rPr>
      <w:sz w:val="18"/>
      <w:szCs w:val="18"/>
    </w:rPr>
  </w:style>
  <w:style w:type="paragraph" w:styleId="aff">
    <w:name w:val="envelope return"/>
    <w:basedOn w:val="a1"/>
    <w:qFormat/>
    <w:rPr>
      <w:rFonts w:cs="Arial"/>
      <w:sz w:val="20"/>
    </w:rPr>
  </w:style>
  <w:style w:type="paragraph" w:styleId="aff0">
    <w:name w:val="header"/>
    <w:basedOn w:val="a1"/>
    <w:link w:val="aff1"/>
    <w:qFormat/>
    <w:pPr>
      <w:pBdr>
        <w:bottom w:val="single" w:sz="6" w:space="1" w:color="auto"/>
      </w:pBdr>
      <w:tabs>
        <w:tab w:val="center" w:pos="4153"/>
        <w:tab w:val="right" w:pos="8306"/>
      </w:tabs>
      <w:snapToGrid w:val="0"/>
      <w:jc w:val="center"/>
    </w:pPr>
    <w:rPr>
      <w:sz w:val="18"/>
      <w:szCs w:val="18"/>
    </w:rPr>
  </w:style>
  <w:style w:type="paragraph" w:styleId="11">
    <w:name w:val="toc 1"/>
    <w:basedOn w:val="a1"/>
    <w:next w:val="a1"/>
    <w:uiPriority w:val="39"/>
    <w:qFormat/>
    <w:pPr>
      <w:tabs>
        <w:tab w:val="left" w:pos="720"/>
        <w:tab w:val="left" w:pos="1080"/>
        <w:tab w:val="right" w:leader="dot" w:pos="8296"/>
      </w:tabs>
      <w:spacing w:line="360" w:lineRule="auto"/>
      <w:jc w:val="left"/>
    </w:pPr>
    <w:rPr>
      <w:rFonts w:ascii="宋体" w:hAnsi="宋体"/>
      <w:b/>
      <w:bCs/>
      <w:color w:val="000000"/>
    </w:rPr>
  </w:style>
  <w:style w:type="paragraph" w:styleId="41">
    <w:name w:val="toc 4"/>
    <w:basedOn w:val="a1"/>
    <w:next w:val="a1"/>
    <w:uiPriority w:val="39"/>
    <w:qFormat/>
    <w:pPr>
      <w:ind w:left="630"/>
      <w:jc w:val="left"/>
    </w:pPr>
    <w:rPr>
      <w:szCs w:val="21"/>
    </w:rPr>
  </w:style>
  <w:style w:type="paragraph" w:styleId="aff2">
    <w:name w:val="Subtitle"/>
    <w:basedOn w:val="21"/>
    <w:next w:val="3"/>
    <w:link w:val="aff3"/>
    <w:qFormat/>
    <w:pPr>
      <w:spacing w:before="240" w:after="60" w:line="312" w:lineRule="auto"/>
      <w:jc w:val="center"/>
    </w:pPr>
    <w:rPr>
      <w:rFonts w:ascii="Cambria" w:hAnsi="Cambria"/>
      <w:kern w:val="28"/>
    </w:rPr>
  </w:style>
  <w:style w:type="paragraph" w:styleId="aff4">
    <w:name w:val="footnote text"/>
    <w:basedOn w:val="a1"/>
    <w:link w:val="aff5"/>
    <w:qFormat/>
    <w:pPr>
      <w:snapToGrid w:val="0"/>
      <w:jc w:val="left"/>
    </w:pPr>
    <w:rPr>
      <w:sz w:val="18"/>
      <w:szCs w:val="18"/>
    </w:rPr>
  </w:style>
  <w:style w:type="paragraph" w:styleId="61">
    <w:name w:val="toc 6"/>
    <w:basedOn w:val="a1"/>
    <w:next w:val="a1"/>
    <w:uiPriority w:val="39"/>
    <w:qFormat/>
    <w:pPr>
      <w:ind w:left="1050"/>
      <w:jc w:val="left"/>
    </w:pPr>
    <w:rPr>
      <w:szCs w:val="21"/>
    </w:rPr>
  </w:style>
  <w:style w:type="paragraph" w:styleId="34">
    <w:name w:val="Body Text Indent 3"/>
    <w:basedOn w:val="a1"/>
    <w:link w:val="35"/>
    <w:qFormat/>
    <w:pPr>
      <w:spacing w:line="400" w:lineRule="atLeast"/>
      <w:ind w:firstLine="600"/>
    </w:pPr>
    <w:rPr>
      <w:rFonts w:ascii="宋体" w:hint="eastAsia"/>
      <w:sz w:val="28"/>
      <w:szCs w:val="20"/>
    </w:rPr>
  </w:style>
  <w:style w:type="paragraph" w:styleId="25">
    <w:name w:val="toc 2"/>
    <w:basedOn w:val="a1"/>
    <w:next w:val="a1"/>
    <w:uiPriority w:val="39"/>
    <w:qFormat/>
    <w:pPr>
      <w:tabs>
        <w:tab w:val="left" w:pos="840"/>
        <w:tab w:val="left" w:pos="1050"/>
        <w:tab w:val="left" w:pos="1080"/>
        <w:tab w:val="right" w:leader="dot" w:pos="8296"/>
      </w:tabs>
      <w:spacing w:line="360" w:lineRule="auto"/>
      <w:ind w:left="210"/>
      <w:jc w:val="left"/>
    </w:pPr>
  </w:style>
  <w:style w:type="paragraph" w:styleId="91">
    <w:name w:val="toc 9"/>
    <w:basedOn w:val="a1"/>
    <w:next w:val="a1"/>
    <w:uiPriority w:val="39"/>
    <w:qFormat/>
    <w:pPr>
      <w:ind w:left="1680"/>
      <w:jc w:val="left"/>
    </w:pPr>
    <w:rPr>
      <w:szCs w:val="21"/>
    </w:rPr>
  </w:style>
  <w:style w:type="paragraph" w:styleId="26">
    <w:name w:val="Body Text 2"/>
    <w:basedOn w:val="a1"/>
    <w:link w:val="27"/>
    <w:qFormat/>
    <w:rPr>
      <w:sz w:val="28"/>
      <w:szCs w:val="20"/>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styleId="aff6">
    <w:name w:val="Normal (Web)"/>
    <w:basedOn w:val="a1"/>
    <w:uiPriority w:val="99"/>
    <w:qFormat/>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12">
    <w:name w:val="index 1"/>
    <w:basedOn w:val="a1"/>
    <w:next w:val="a1"/>
    <w:qFormat/>
    <w:pPr>
      <w:spacing w:line="360" w:lineRule="auto"/>
      <w:ind w:firstLineChars="200" w:firstLine="422"/>
      <w:outlineLvl w:val="0"/>
    </w:pPr>
    <w:rPr>
      <w:rFonts w:ascii="宋体" w:hAnsi="宋体"/>
      <w:b/>
      <w:bCs/>
      <w:color w:val="000000"/>
      <w:kern w:val="0"/>
    </w:rPr>
  </w:style>
  <w:style w:type="paragraph" w:styleId="aff7">
    <w:name w:val="Title"/>
    <w:basedOn w:val="a1"/>
    <w:link w:val="aff8"/>
    <w:qFormat/>
    <w:pPr>
      <w:spacing w:before="240" w:after="60" w:line="360" w:lineRule="auto"/>
      <w:ind w:firstLine="425"/>
      <w:jc w:val="center"/>
      <w:outlineLvl w:val="0"/>
    </w:pPr>
    <w:rPr>
      <w:rFonts w:ascii="Arial" w:hAnsi="Arial"/>
      <w:b/>
      <w:sz w:val="32"/>
      <w:szCs w:val="20"/>
    </w:rPr>
  </w:style>
  <w:style w:type="paragraph" w:styleId="aff9">
    <w:name w:val="annotation subject"/>
    <w:basedOn w:val="af1"/>
    <w:next w:val="af1"/>
    <w:link w:val="affa"/>
    <w:qFormat/>
    <w:rPr>
      <w:b/>
      <w:bCs/>
      <w:sz w:val="21"/>
      <w:szCs w:val="24"/>
    </w:rPr>
  </w:style>
  <w:style w:type="paragraph" w:styleId="affb">
    <w:name w:val="Body Text First Indent"/>
    <w:basedOn w:val="a9"/>
    <w:link w:val="affc"/>
    <w:qFormat/>
    <w:pPr>
      <w:spacing w:after="120" w:line="240" w:lineRule="auto"/>
      <w:ind w:firstLineChars="100" w:firstLine="420"/>
    </w:pPr>
  </w:style>
  <w:style w:type="table" w:styleId="affd">
    <w:name w:val="Table Grid"/>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uiPriority w:val="22"/>
    <w:qFormat/>
    <w:rPr>
      <w:b/>
      <w:bCs/>
    </w:rPr>
  </w:style>
  <w:style w:type="character" w:styleId="afff">
    <w:name w:val="page number"/>
    <w:basedOn w:val="a2"/>
    <w:qFormat/>
  </w:style>
  <w:style w:type="character" w:styleId="afff0">
    <w:name w:val="FollowedHyperlink"/>
    <w:qFormat/>
    <w:rPr>
      <w:color w:val="800080"/>
      <w:u w:val="single"/>
    </w:rPr>
  </w:style>
  <w:style w:type="character" w:styleId="afff1">
    <w:name w:val="Emphasis"/>
    <w:qFormat/>
    <w:rPr>
      <w:i/>
      <w:iCs/>
    </w:rPr>
  </w:style>
  <w:style w:type="character" w:styleId="HTML1">
    <w:name w:val="HTML Typewriter"/>
    <w:qFormat/>
    <w:rPr>
      <w:rFonts w:ascii="Arial Unicode MS" w:eastAsia="Arial Unicode MS" w:hAnsi="Arial Unicode MS" w:cs="Arial Unicode MS"/>
      <w:sz w:val="20"/>
      <w:szCs w:val="20"/>
    </w:rPr>
  </w:style>
  <w:style w:type="character" w:styleId="afff2">
    <w:name w:val="Hyperlink"/>
    <w:uiPriority w:val="99"/>
    <w:qFormat/>
    <w:rPr>
      <w:color w:val="0000FF"/>
      <w:u w:val="single"/>
    </w:rPr>
  </w:style>
  <w:style w:type="character" w:styleId="afff3">
    <w:name w:val="annotation reference"/>
    <w:qFormat/>
    <w:rPr>
      <w:sz w:val="21"/>
      <w:szCs w:val="21"/>
    </w:rPr>
  </w:style>
  <w:style w:type="character" w:styleId="afff4">
    <w:name w:val="footnote reference"/>
    <w:qFormat/>
    <w:rPr>
      <w:vertAlign w:val="superscript"/>
    </w:rPr>
  </w:style>
  <w:style w:type="character" w:customStyle="1" w:styleId="10">
    <w:name w:val="标题 1 字符"/>
    <w:link w:val="1"/>
    <w:qFormat/>
    <w:rPr>
      <w:rFonts w:ascii="Times New Roman" w:hAnsi="Times New Roman"/>
      <w:b/>
      <w:bCs/>
      <w:kern w:val="44"/>
      <w:sz w:val="44"/>
      <w:szCs w:val="44"/>
    </w:rPr>
  </w:style>
  <w:style w:type="character" w:customStyle="1" w:styleId="22">
    <w:name w:val="标题 2 字符"/>
    <w:link w:val="21"/>
    <w:qFormat/>
    <w:rPr>
      <w:rFonts w:ascii="Arial" w:eastAsia="黑体" w:hAnsi="Arial"/>
      <w:b/>
      <w:bCs/>
      <w:kern w:val="2"/>
      <w:sz w:val="32"/>
      <w:szCs w:val="32"/>
    </w:rPr>
  </w:style>
  <w:style w:type="character" w:customStyle="1" w:styleId="30">
    <w:name w:val="标题 3 字符"/>
    <w:link w:val="3"/>
    <w:qFormat/>
    <w:rPr>
      <w:rFonts w:ascii="Times New Roman" w:hAnsi="Times New Roman"/>
      <w:b/>
      <w:bCs/>
      <w:kern w:val="2"/>
      <w:sz w:val="32"/>
      <w:szCs w:val="32"/>
    </w:rPr>
  </w:style>
  <w:style w:type="character" w:customStyle="1" w:styleId="40">
    <w:name w:val="标题 4 字符"/>
    <w:link w:val="4"/>
    <w:qFormat/>
    <w:rPr>
      <w:rFonts w:ascii="Arial" w:eastAsia="黑体" w:hAnsi="Arial"/>
      <w:b/>
      <w:sz w:val="28"/>
    </w:rPr>
  </w:style>
  <w:style w:type="character" w:customStyle="1" w:styleId="50">
    <w:name w:val="标题 5 字符"/>
    <w:link w:val="5"/>
    <w:qFormat/>
    <w:rPr>
      <w:rFonts w:ascii="宋体" w:hAnsi="Times New Roman"/>
      <w:b/>
      <w:sz w:val="28"/>
    </w:rPr>
  </w:style>
  <w:style w:type="character" w:customStyle="1" w:styleId="60">
    <w:name w:val="标题 6 字符"/>
    <w:link w:val="6"/>
    <w:qFormat/>
    <w:rPr>
      <w:rFonts w:ascii="Arial" w:eastAsia="黑体" w:hAnsi="Arial"/>
      <w:b/>
      <w:sz w:val="24"/>
    </w:rPr>
  </w:style>
  <w:style w:type="character" w:customStyle="1" w:styleId="70">
    <w:name w:val="标题 7 字符"/>
    <w:link w:val="7"/>
    <w:qFormat/>
    <w:rPr>
      <w:rFonts w:ascii="宋体" w:hAnsi="Times New Roman"/>
      <w:b/>
      <w:sz w:val="24"/>
    </w:rPr>
  </w:style>
  <w:style w:type="character" w:customStyle="1" w:styleId="80">
    <w:name w:val="标题 8 字符"/>
    <w:link w:val="8"/>
    <w:qFormat/>
    <w:rPr>
      <w:rFonts w:ascii="Arial" w:eastAsia="黑体" w:hAnsi="Arial"/>
      <w:sz w:val="24"/>
    </w:rPr>
  </w:style>
  <w:style w:type="character" w:customStyle="1" w:styleId="90">
    <w:name w:val="标题 9 字符"/>
    <w:link w:val="9"/>
    <w:qFormat/>
    <w:rPr>
      <w:rFonts w:ascii="Arial" w:eastAsia="黑体" w:hAnsi="Arial"/>
      <w:sz w:val="21"/>
    </w:rPr>
  </w:style>
  <w:style w:type="paragraph" w:customStyle="1" w:styleId="ParaChar">
    <w:name w:val="默认段落字体 Para Char"/>
    <w:basedOn w:val="a1"/>
    <w:qFormat/>
    <w:pPr>
      <w:numPr>
        <w:numId w:val="4"/>
      </w:numPr>
    </w:pPr>
    <w:rPr>
      <w:sz w:val="24"/>
    </w:rPr>
  </w:style>
  <w:style w:type="character" w:customStyle="1" w:styleId="aff5">
    <w:name w:val="脚注文本 字符"/>
    <w:link w:val="aff4"/>
    <w:qFormat/>
    <w:rPr>
      <w:rFonts w:ascii="Times New Roman" w:eastAsia="宋体" w:hAnsi="Times New Roman" w:cs="Times New Roman"/>
      <w:sz w:val="18"/>
      <w:szCs w:val="18"/>
    </w:rPr>
  </w:style>
  <w:style w:type="character" w:customStyle="1" w:styleId="af2">
    <w:name w:val="批注文字 字符"/>
    <w:link w:val="af1"/>
    <w:qFormat/>
    <w:rPr>
      <w:rFonts w:ascii="Times New Roman" w:eastAsia="宋体" w:hAnsi="Times New Roman" w:cs="Times New Roman"/>
      <w:sz w:val="24"/>
      <w:szCs w:val="20"/>
    </w:rPr>
  </w:style>
  <w:style w:type="character" w:customStyle="1" w:styleId="aff1">
    <w:name w:val="页眉 字符"/>
    <w:link w:val="aff0"/>
    <w:qFormat/>
    <w:rPr>
      <w:rFonts w:ascii="Times New Roman" w:eastAsia="宋体" w:hAnsi="Times New Roman" w:cs="Times New Roman"/>
      <w:sz w:val="18"/>
      <w:szCs w:val="18"/>
    </w:rPr>
  </w:style>
  <w:style w:type="character" w:customStyle="1" w:styleId="afe">
    <w:name w:val="页脚 字符"/>
    <w:link w:val="afd"/>
    <w:uiPriority w:val="99"/>
    <w:qFormat/>
    <w:rPr>
      <w:rFonts w:ascii="Times New Roman" w:eastAsia="宋体" w:hAnsi="Times New Roman" w:cs="Times New Roman"/>
      <w:sz w:val="18"/>
      <w:szCs w:val="18"/>
    </w:rPr>
  </w:style>
  <w:style w:type="character" w:customStyle="1" w:styleId="aff8">
    <w:name w:val="标题 字符"/>
    <w:link w:val="aff7"/>
    <w:qFormat/>
    <w:rPr>
      <w:rFonts w:ascii="Arial" w:eastAsia="宋体" w:hAnsi="Arial" w:cs="Times New Roman"/>
      <w:b/>
      <w:sz w:val="32"/>
      <w:szCs w:val="20"/>
    </w:rPr>
  </w:style>
  <w:style w:type="character" w:customStyle="1" w:styleId="aa">
    <w:name w:val="正文文本 字符"/>
    <w:link w:val="a9"/>
    <w:qFormat/>
    <w:rPr>
      <w:rFonts w:ascii="Times New Roman" w:eastAsia="宋体" w:hAnsi="Times New Roman" w:cs="Times New Roman"/>
      <w:sz w:val="24"/>
      <w:szCs w:val="24"/>
    </w:rPr>
  </w:style>
  <w:style w:type="character" w:customStyle="1" w:styleId="af4">
    <w:name w:val="正文文本缩进 字符"/>
    <w:link w:val="af3"/>
    <w:qFormat/>
    <w:rPr>
      <w:rFonts w:ascii="宋体" w:eastAsia="宋体" w:hAnsi="Times New Roman" w:cs="Times New Roman"/>
      <w:kern w:val="0"/>
      <w:sz w:val="24"/>
      <w:szCs w:val="20"/>
    </w:rPr>
  </w:style>
  <w:style w:type="character" w:customStyle="1" w:styleId="af8">
    <w:name w:val="日期 字符"/>
    <w:link w:val="af7"/>
    <w:qFormat/>
    <w:rPr>
      <w:rFonts w:ascii="宋体" w:eastAsia="仿宋_GB2312" w:hAnsi="宋体" w:cs="Times New Roman"/>
      <w:sz w:val="28"/>
      <w:szCs w:val="24"/>
    </w:rPr>
  </w:style>
  <w:style w:type="character" w:customStyle="1" w:styleId="27">
    <w:name w:val="正文文本 2 字符"/>
    <w:link w:val="26"/>
    <w:qFormat/>
    <w:rPr>
      <w:rFonts w:ascii="Times New Roman" w:eastAsia="宋体" w:hAnsi="Times New Roman" w:cs="Times New Roman"/>
      <w:sz w:val="28"/>
      <w:szCs w:val="20"/>
    </w:rPr>
  </w:style>
  <w:style w:type="character" w:customStyle="1" w:styleId="32">
    <w:name w:val="正文文本 3 字符"/>
    <w:link w:val="31"/>
    <w:qFormat/>
    <w:rPr>
      <w:rFonts w:ascii="Times New Roman" w:eastAsia="宋体" w:hAnsi="Times New Roman" w:cs="Times New Roman"/>
      <w:kern w:val="0"/>
      <w:sz w:val="24"/>
      <w:szCs w:val="20"/>
      <w:u w:val="single"/>
    </w:rPr>
  </w:style>
  <w:style w:type="character" w:customStyle="1" w:styleId="24">
    <w:name w:val="正文文本缩进 2 字符"/>
    <w:link w:val="23"/>
    <w:qFormat/>
    <w:rPr>
      <w:rFonts w:ascii="Times New Roman" w:eastAsia="仿宋_GB2312" w:hAnsi="Times New Roman" w:cs="Times New Roman"/>
      <w:sz w:val="28"/>
      <w:szCs w:val="24"/>
    </w:rPr>
  </w:style>
  <w:style w:type="character" w:customStyle="1" w:styleId="35">
    <w:name w:val="正文文本缩进 3 字符"/>
    <w:link w:val="34"/>
    <w:qFormat/>
    <w:rPr>
      <w:rFonts w:ascii="宋体" w:eastAsia="宋体" w:hAnsi="Times New Roman" w:cs="Times New Roman"/>
      <w:sz w:val="28"/>
      <w:szCs w:val="20"/>
    </w:rPr>
  </w:style>
  <w:style w:type="character" w:customStyle="1" w:styleId="af">
    <w:name w:val="文档结构图 字符"/>
    <w:link w:val="ae"/>
    <w:qFormat/>
    <w:rPr>
      <w:rFonts w:ascii="Times New Roman" w:eastAsia="宋体" w:hAnsi="Times New Roman" w:cs="Times New Roman"/>
      <w:szCs w:val="24"/>
      <w:shd w:val="clear" w:color="auto" w:fill="000080"/>
    </w:rPr>
  </w:style>
  <w:style w:type="character" w:customStyle="1" w:styleId="af6">
    <w:name w:val="纯文本 字符"/>
    <w:link w:val="af5"/>
    <w:qFormat/>
    <w:rPr>
      <w:rFonts w:ascii="宋体" w:eastAsia="宋体" w:hAnsi="Courier New" w:cs="Times New Roman"/>
      <w:szCs w:val="20"/>
    </w:rPr>
  </w:style>
  <w:style w:type="paragraph" w:customStyle="1" w:styleId="font523908">
    <w:name w:val="font523908"/>
    <w:basedOn w:val="a1"/>
    <w:qFormat/>
    <w:pPr>
      <w:widowControl/>
      <w:spacing w:before="100" w:after="100"/>
      <w:jc w:val="left"/>
    </w:pPr>
    <w:rPr>
      <w:rFonts w:ascii="宋体" w:hAnsi="宋体" w:hint="eastAsia"/>
      <w:kern w:val="0"/>
      <w:sz w:val="18"/>
    </w:rPr>
  </w:style>
  <w:style w:type="paragraph" w:customStyle="1" w:styleId="font623908">
    <w:name w:val="font623908"/>
    <w:basedOn w:val="a1"/>
    <w:qFormat/>
    <w:pPr>
      <w:widowControl/>
      <w:spacing w:before="100" w:after="100"/>
      <w:jc w:val="left"/>
    </w:pPr>
    <w:rPr>
      <w:rFonts w:ascii="楷体_GB2312" w:eastAsia="楷体_GB2312" w:hAnsi="宋体" w:hint="eastAsia"/>
      <w:color w:val="FF0000"/>
      <w:kern w:val="0"/>
      <w:sz w:val="24"/>
    </w:rPr>
  </w:style>
  <w:style w:type="paragraph" w:customStyle="1" w:styleId="xl2223908">
    <w:name w:val="xl2223908"/>
    <w:basedOn w:val="a1"/>
    <w:qFormat/>
    <w:pPr>
      <w:widowControl/>
      <w:spacing w:before="100" w:after="100"/>
      <w:jc w:val="center"/>
    </w:pPr>
    <w:rPr>
      <w:rFonts w:ascii="宋体" w:hAnsi="宋体" w:hint="eastAsia"/>
      <w:kern w:val="0"/>
      <w:sz w:val="24"/>
    </w:rPr>
  </w:style>
  <w:style w:type="paragraph" w:customStyle="1" w:styleId="xl2423908">
    <w:name w:val="xl2423908"/>
    <w:basedOn w:val="a1"/>
    <w:qFormat/>
    <w:pPr>
      <w:widowControl/>
      <w:spacing w:before="100" w:after="100"/>
      <w:jc w:val="left"/>
    </w:pPr>
    <w:rPr>
      <w:rFonts w:ascii="宋体" w:hAnsi="宋体" w:hint="eastAsia"/>
      <w:kern w:val="0"/>
      <w:sz w:val="24"/>
    </w:rPr>
  </w:style>
  <w:style w:type="paragraph" w:customStyle="1" w:styleId="xl2723908">
    <w:name w:val="xl2723908"/>
    <w:basedOn w:val="a1"/>
    <w:qFormat/>
    <w:pPr>
      <w:widowControl/>
      <w:spacing w:before="100" w:after="100"/>
      <w:jc w:val="left"/>
    </w:pPr>
    <w:rPr>
      <w:rFonts w:ascii="楷体_GB2312" w:eastAsia="楷体_GB2312" w:hAnsi="宋体" w:hint="eastAsia"/>
      <w:kern w:val="0"/>
      <w:sz w:val="24"/>
    </w:rPr>
  </w:style>
  <w:style w:type="paragraph" w:customStyle="1" w:styleId="xl2823908">
    <w:name w:val="xl2823908"/>
    <w:basedOn w:val="a1"/>
    <w:qFormat/>
    <w:pPr>
      <w:widowControl/>
      <w:pBdr>
        <w:top w:val="single" w:sz="4" w:space="1" w:color="auto"/>
        <w:left w:val="single" w:sz="4" w:space="1" w:color="auto"/>
        <w:bottom w:val="single" w:sz="4" w:space="0" w:color="auto"/>
        <w:right w:val="single" w:sz="4" w:space="1" w:color="auto"/>
      </w:pBdr>
      <w:spacing w:before="100" w:after="100"/>
      <w:jc w:val="center"/>
    </w:pPr>
    <w:rPr>
      <w:rFonts w:ascii="楷体_GB2312" w:eastAsia="楷体_GB2312" w:hAnsi="宋体" w:hint="eastAsia"/>
      <w:kern w:val="0"/>
      <w:sz w:val="24"/>
    </w:rPr>
  </w:style>
  <w:style w:type="paragraph" w:customStyle="1" w:styleId="13">
    <w:name w:val="列表1"/>
    <w:basedOn w:val="a1"/>
    <w:next w:val="a1"/>
    <w:qFormat/>
    <w:pPr>
      <w:tabs>
        <w:tab w:val="left" w:pos="644"/>
      </w:tabs>
      <w:spacing w:line="360" w:lineRule="auto"/>
      <w:ind w:left="567" w:hanging="283"/>
    </w:pPr>
    <w:rPr>
      <w:szCs w:val="20"/>
    </w:rPr>
  </w:style>
  <w:style w:type="paragraph" w:customStyle="1" w:styleId="20">
    <w:name w:val="列表2"/>
    <w:basedOn w:val="a1"/>
    <w:next w:val="aff7"/>
    <w:qFormat/>
    <w:pPr>
      <w:numPr>
        <w:numId w:val="5"/>
      </w:numPr>
      <w:spacing w:line="360" w:lineRule="auto"/>
    </w:pPr>
    <w:rPr>
      <w:szCs w:val="20"/>
    </w:rPr>
  </w:style>
  <w:style w:type="character" w:customStyle="1" w:styleId="afc">
    <w:name w:val="批注框文本 字符"/>
    <w:link w:val="afb"/>
    <w:qFormat/>
    <w:rPr>
      <w:rFonts w:ascii="Times New Roman" w:eastAsia="宋体" w:hAnsi="Times New Roman" w:cs="Times New Roman"/>
      <w:sz w:val="18"/>
      <w:szCs w:val="18"/>
    </w:rPr>
  </w:style>
  <w:style w:type="paragraph" w:customStyle="1" w:styleId="36">
    <w:name w:val="列表3"/>
    <w:basedOn w:val="a1"/>
    <w:qFormat/>
    <w:pPr>
      <w:spacing w:line="360" w:lineRule="auto"/>
    </w:pPr>
    <w:rPr>
      <w:rFonts w:ascii="宋体" w:hint="eastAsia"/>
      <w:szCs w:val="20"/>
    </w:rPr>
  </w:style>
  <w:style w:type="paragraph" w:customStyle="1" w:styleId="2211">
    <w:name w:val="样式 标题 2 + 首行缩进:  2 字符 段前: 1 行 段后: 1 行"/>
    <w:basedOn w:val="21"/>
    <w:qFormat/>
    <w:pPr>
      <w:tabs>
        <w:tab w:val="left" w:pos="1276"/>
      </w:tabs>
      <w:spacing w:before="100" w:after="100" w:line="240" w:lineRule="auto"/>
      <w:ind w:left="851"/>
    </w:pPr>
    <w:rPr>
      <w:rFonts w:eastAsia="宋体"/>
      <w:bCs w:val="0"/>
      <w:sz w:val="28"/>
      <w:szCs w:val="20"/>
    </w:rPr>
  </w:style>
  <w:style w:type="character" w:customStyle="1" w:styleId="affa">
    <w:name w:val="批注主题 字符"/>
    <w:link w:val="aff9"/>
    <w:qFormat/>
    <w:rPr>
      <w:rFonts w:ascii="Times New Roman" w:eastAsia="宋体" w:hAnsi="Times New Roman" w:cs="Times New Roman"/>
      <w:b/>
      <w:bCs/>
      <w:sz w:val="24"/>
      <w:szCs w:val="24"/>
    </w:rPr>
  </w:style>
  <w:style w:type="paragraph" w:customStyle="1" w:styleId="14">
    <w:name w:val="1"/>
    <w:basedOn w:val="a1"/>
    <w:qFormat/>
    <w:pPr>
      <w:tabs>
        <w:tab w:val="left" w:pos="870"/>
      </w:tabs>
      <w:spacing w:before="100" w:beforeAutospacing="1" w:after="100" w:afterAutospacing="1" w:line="360" w:lineRule="auto"/>
      <w:ind w:leftChars="200" w:left="200"/>
    </w:pPr>
  </w:style>
  <w:style w:type="paragraph" w:customStyle="1" w:styleId="15">
    <w:name w:val="样式 宋体 四号 行距: 1.5 倍行距"/>
    <w:basedOn w:val="a1"/>
    <w:qFormat/>
    <w:pPr>
      <w:spacing w:line="360" w:lineRule="auto"/>
    </w:pPr>
    <w:rPr>
      <w:rFonts w:ascii="宋体" w:hAnsi="宋体" w:hint="eastAsia"/>
      <w:sz w:val="24"/>
      <w:szCs w:val="20"/>
    </w:rPr>
  </w:style>
  <w:style w:type="paragraph" w:customStyle="1" w:styleId="afff5">
    <w:name w:val="正文正文"/>
    <w:basedOn w:val="a1"/>
    <w:qFormat/>
    <w:pPr>
      <w:spacing w:afterLines="25" w:line="360" w:lineRule="auto"/>
      <w:ind w:firstLineChars="200" w:firstLine="200"/>
    </w:pPr>
    <w:rPr>
      <w:sz w:val="24"/>
    </w:rPr>
  </w:style>
  <w:style w:type="paragraph" w:customStyle="1" w:styleId="unnamed1">
    <w:name w:val="unnamed1"/>
    <w:basedOn w:val="a1"/>
    <w:qFormat/>
    <w:pPr>
      <w:widowControl/>
      <w:spacing w:before="60" w:after="60"/>
      <w:ind w:left="15" w:right="15"/>
      <w:jc w:val="left"/>
    </w:pPr>
    <w:rPr>
      <w:rFonts w:ascii="宋体" w:hAnsi="宋体" w:hint="eastAsia"/>
      <w:color w:val="000000"/>
      <w:kern w:val="0"/>
      <w:sz w:val="18"/>
      <w:szCs w:val="18"/>
    </w:rPr>
  </w:style>
  <w:style w:type="paragraph" w:customStyle="1" w:styleId="afff6">
    <w:name w:val="第三级标题"/>
    <w:basedOn w:val="afff5"/>
    <w:next w:val="afff5"/>
    <w:qFormat/>
    <w:pPr>
      <w:keepNext/>
      <w:outlineLvl w:val="2"/>
    </w:pPr>
    <w:rPr>
      <w:b/>
    </w:rPr>
  </w:style>
  <w:style w:type="character" w:customStyle="1" w:styleId="tt11">
    <w:name w:val="tt11"/>
    <w:qFormat/>
    <w:rPr>
      <w:spacing w:val="400"/>
      <w:sz w:val="22"/>
      <w:szCs w:val="22"/>
    </w:rPr>
  </w:style>
  <w:style w:type="character" w:customStyle="1" w:styleId="afff7">
    <w:name w:val="a"/>
    <w:basedOn w:val="a2"/>
    <w:qFormat/>
  </w:style>
  <w:style w:type="character" w:customStyle="1" w:styleId="md1">
    <w:name w:val="md1"/>
    <w:qFormat/>
    <w:rPr>
      <w:spacing w:val="360"/>
      <w:sz w:val="25"/>
      <w:szCs w:val="25"/>
    </w:rPr>
  </w:style>
  <w:style w:type="character" w:customStyle="1" w:styleId="style21">
    <w:name w:val="style21"/>
    <w:qFormat/>
    <w:rPr>
      <w:color w:val="006699"/>
      <w:spacing w:val="31680"/>
      <w:sz w:val="18"/>
      <w:szCs w:val="18"/>
      <w:u w:val="none"/>
    </w:rPr>
  </w:style>
  <w:style w:type="character" w:customStyle="1" w:styleId="read">
    <w:name w:val="read"/>
    <w:basedOn w:val="a2"/>
    <w:qFormat/>
  </w:style>
  <w:style w:type="character" w:customStyle="1" w:styleId="big1">
    <w:name w:val="big1"/>
    <w:qFormat/>
    <w:rPr>
      <w:spacing w:val="360"/>
      <w:sz w:val="22"/>
      <w:szCs w:val="22"/>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CharCharCharChar">
    <w:name w:val="Char Char Char Char"/>
    <w:basedOn w:val="a1"/>
    <w:qFormat/>
    <w:pPr>
      <w:tabs>
        <w:tab w:val="left" w:pos="360"/>
      </w:tabs>
    </w:pPr>
    <w:rPr>
      <w:sz w:val="24"/>
    </w:rPr>
  </w:style>
  <w:style w:type="paragraph" w:customStyle="1" w:styleId="AODocTxt">
    <w:name w:val="AODocTxt"/>
    <w:basedOn w:val="AOBodyTxt"/>
    <w:qFormat/>
    <w:pPr>
      <w:numPr>
        <w:numId w:val="6"/>
      </w:numPr>
    </w:pPr>
  </w:style>
  <w:style w:type="paragraph" w:customStyle="1" w:styleId="AOBodyTxt">
    <w:name w:val="AOBodyTxt"/>
    <w:basedOn w:val="AONormal"/>
    <w:next w:val="AODocTxt"/>
    <w:qFormat/>
    <w:pPr>
      <w:spacing w:before="240"/>
    </w:pPr>
  </w:style>
  <w:style w:type="paragraph" w:customStyle="1" w:styleId="AOBullet">
    <w:name w:val="AOBullet"/>
    <w:basedOn w:val="AOBodyTxt"/>
    <w:qFormat/>
    <w:pPr>
      <w:numPr>
        <w:numId w:val="7"/>
      </w:numPr>
      <w:tabs>
        <w:tab w:val="clear" w:pos="720"/>
      </w:tabs>
    </w:pPr>
  </w:style>
  <w:style w:type="paragraph" w:customStyle="1" w:styleId="AODefHead">
    <w:name w:val="AODefHead"/>
    <w:basedOn w:val="AOBodyTxt"/>
    <w:next w:val="AODefPara"/>
    <w:qFormat/>
    <w:pPr>
      <w:numPr>
        <w:numId w:val="8"/>
      </w:numPr>
      <w:outlineLvl w:val="5"/>
    </w:pPr>
  </w:style>
  <w:style w:type="paragraph" w:customStyle="1" w:styleId="AODefPara">
    <w:name w:val="AODefPara"/>
    <w:basedOn w:val="AODefHead"/>
    <w:qFormat/>
    <w:pPr>
      <w:numPr>
        <w:ilvl w:val="1"/>
      </w:numPr>
      <w:tabs>
        <w:tab w:val="left" w:pos="992"/>
      </w:tabs>
      <w:ind w:left="992" w:hanging="992"/>
      <w:outlineLvl w:val="6"/>
    </w:pPr>
  </w:style>
  <w:style w:type="paragraph" w:customStyle="1" w:styleId="AO1">
    <w:name w:val="AO(1)"/>
    <w:basedOn w:val="AOBodyTxt"/>
    <w:next w:val="AODocTxt"/>
    <w:qFormat/>
    <w:pPr>
      <w:numPr>
        <w:numId w:val="9"/>
      </w:numPr>
      <w:tabs>
        <w:tab w:val="clear" w:pos="720"/>
      </w:tabs>
    </w:pPr>
  </w:style>
  <w:style w:type="paragraph" w:customStyle="1" w:styleId="AOA">
    <w:name w:val="AO(A)"/>
    <w:basedOn w:val="AOBodyTxt"/>
    <w:next w:val="AODocTxt"/>
    <w:qFormat/>
    <w:pPr>
      <w:numPr>
        <w:numId w:val="10"/>
      </w:numPr>
      <w:tabs>
        <w:tab w:val="clear" w:pos="720"/>
      </w:tabs>
    </w:pPr>
  </w:style>
  <w:style w:type="paragraph" w:customStyle="1" w:styleId="AOAnxHead">
    <w:name w:val="AOAnxHead"/>
    <w:basedOn w:val="AOAttachments"/>
    <w:next w:val="AOAnxTitle"/>
    <w:qFormat/>
    <w:pPr>
      <w:pageBreakBefore/>
      <w:numPr>
        <w:numId w:val="11"/>
      </w:numPr>
      <w:outlineLvl w:val="0"/>
    </w:pPr>
  </w:style>
  <w:style w:type="paragraph" w:customStyle="1" w:styleId="AOAttachments">
    <w:name w:val="AOAttachments"/>
    <w:basedOn w:val="AOBodyTxt"/>
    <w:next w:val="AODocTxt"/>
    <w:qFormat/>
    <w:pPr>
      <w:jc w:val="center"/>
    </w:pPr>
    <w:rPr>
      <w:caps/>
    </w:rPr>
  </w:style>
  <w:style w:type="paragraph" w:customStyle="1" w:styleId="AOAnxTitle">
    <w:name w:val="AOAnxTitle"/>
    <w:basedOn w:val="AOAttachments"/>
    <w:next w:val="AODocTxt"/>
    <w:qFormat/>
    <w:pPr>
      <w:outlineLvl w:val="1"/>
    </w:pPr>
    <w:rPr>
      <w:b/>
    </w:rPr>
  </w:style>
  <w:style w:type="paragraph" w:customStyle="1" w:styleId="AOAnxPartHead">
    <w:name w:val="AOAnxPartHead"/>
    <w:basedOn w:val="AOAnxHead"/>
    <w:next w:val="AOAnxPartTitle"/>
    <w:qFormat/>
    <w:pPr>
      <w:pageBreakBefore w:val="0"/>
      <w:numPr>
        <w:ilvl w:val="1"/>
      </w:numPr>
      <w:tabs>
        <w:tab w:val="left" w:pos="1440"/>
      </w:tabs>
      <w:ind w:left="1440" w:hanging="360"/>
    </w:pPr>
  </w:style>
  <w:style w:type="paragraph" w:customStyle="1" w:styleId="AOAnxPartTitle">
    <w:name w:val="AOAnxPartTitle"/>
    <w:basedOn w:val="AOAnxTitle"/>
    <w:next w:val="AODocTxt"/>
    <w:qFormat/>
  </w:style>
  <w:style w:type="paragraph" w:customStyle="1" w:styleId="AOAppHead">
    <w:name w:val="AOAppHead"/>
    <w:basedOn w:val="AOAttachments"/>
    <w:next w:val="AOAppTitle"/>
    <w:qFormat/>
    <w:pPr>
      <w:pageBreakBefore/>
      <w:numPr>
        <w:numId w:val="12"/>
      </w:numPr>
      <w:tabs>
        <w:tab w:val="left" w:pos="360"/>
      </w:tabs>
      <w:outlineLvl w:val="0"/>
    </w:pPr>
  </w:style>
  <w:style w:type="paragraph" w:customStyle="1" w:styleId="AOAppTitle">
    <w:name w:val="AOAppTitle"/>
    <w:basedOn w:val="AOAttachments"/>
    <w:next w:val="AODocTxt"/>
    <w:qFormat/>
    <w:pPr>
      <w:outlineLvl w:val="1"/>
    </w:pPr>
    <w:rPr>
      <w:b/>
    </w:rPr>
  </w:style>
  <w:style w:type="paragraph" w:customStyle="1" w:styleId="AOAppPartHead">
    <w:name w:val="AOAppPartHead"/>
    <w:basedOn w:val="AOAppHead"/>
    <w:next w:val="AOAppPartTitle"/>
    <w:qFormat/>
    <w:pPr>
      <w:pageBreakBefore w:val="0"/>
      <w:numPr>
        <w:ilvl w:val="1"/>
      </w:numPr>
      <w:tabs>
        <w:tab w:val="left" w:pos="840"/>
      </w:tabs>
      <w:ind w:left="840" w:hanging="420"/>
    </w:pPr>
  </w:style>
  <w:style w:type="paragraph" w:customStyle="1" w:styleId="AOAppPartTitle">
    <w:name w:val="AOAppPartTitle"/>
    <w:basedOn w:val="AOAppTitle"/>
    <w:next w:val="AODocTxt"/>
    <w:qFormat/>
  </w:style>
  <w:style w:type="paragraph" w:customStyle="1" w:styleId="AOSchHead">
    <w:name w:val="AOSchHead"/>
    <w:basedOn w:val="AOAttachments"/>
    <w:next w:val="AOSchTitle"/>
    <w:qFormat/>
    <w:pPr>
      <w:pageBreakBefore/>
      <w:numPr>
        <w:numId w:val="13"/>
      </w:numPr>
      <w:outlineLvl w:val="0"/>
    </w:pPr>
  </w:style>
  <w:style w:type="paragraph" w:customStyle="1" w:styleId="AOSchTitle">
    <w:name w:val="AOSchTitle"/>
    <w:basedOn w:val="AOAttachments"/>
    <w:next w:val="AODocTxt"/>
    <w:qFormat/>
    <w:pPr>
      <w:outlineLvl w:val="1"/>
    </w:pPr>
    <w:rPr>
      <w:b/>
    </w:rPr>
  </w:style>
  <w:style w:type="paragraph" w:customStyle="1" w:styleId="AOSchPartHead">
    <w:name w:val="AOSchPartHead"/>
    <w:basedOn w:val="AOSchHead"/>
    <w:next w:val="AOSchPartTitle"/>
    <w:qFormat/>
    <w:pPr>
      <w:pageBreakBefore w:val="0"/>
      <w:numPr>
        <w:ilvl w:val="1"/>
      </w:numPr>
      <w:tabs>
        <w:tab w:val="left" w:pos="780"/>
      </w:tabs>
      <w:ind w:firstLine="420"/>
    </w:pPr>
  </w:style>
  <w:style w:type="paragraph" w:customStyle="1" w:styleId="AOSchPartTitle">
    <w:name w:val="AOSchPartTitle"/>
    <w:basedOn w:val="AOSchTitle"/>
    <w:next w:val="AODocTxt"/>
    <w:qFormat/>
  </w:style>
  <w:style w:type="paragraph" w:customStyle="1" w:styleId="AODocTxtL1">
    <w:name w:val="AODocTxtL1"/>
    <w:basedOn w:val="AODocTxt"/>
    <w:qFormat/>
    <w:pPr>
      <w:numPr>
        <w:ilvl w:val="1"/>
      </w:numPr>
      <w:tabs>
        <w:tab w:val="left" w:pos="780"/>
      </w:tabs>
      <w:ind w:left="0" w:firstLine="420"/>
    </w:pPr>
  </w:style>
  <w:style w:type="paragraph" w:customStyle="1" w:styleId="AODocTxtL2">
    <w:name w:val="AODocTxtL2"/>
    <w:basedOn w:val="AODocTxt"/>
    <w:qFormat/>
    <w:pPr>
      <w:numPr>
        <w:ilvl w:val="2"/>
      </w:numPr>
      <w:tabs>
        <w:tab w:val="left" w:pos="2160"/>
      </w:tabs>
      <w:ind w:left="2160" w:hanging="360"/>
    </w:pPr>
  </w:style>
  <w:style w:type="paragraph" w:customStyle="1" w:styleId="AODocTxtL3">
    <w:name w:val="AODocTxtL3"/>
    <w:basedOn w:val="AODocTxt"/>
    <w:qFormat/>
    <w:pPr>
      <w:numPr>
        <w:ilvl w:val="3"/>
      </w:numPr>
      <w:tabs>
        <w:tab w:val="left" w:pos="2880"/>
      </w:tabs>
      <w:ind w:left="2880" w:hanging="360"/>
    </w:pPr>
  </w:style>
  <w:style w:type="paragraph" w:customStyle="1" w:styleId="AODocTxtL4">
    <w:name w:val="AODocTxtL4"/>
    <w:basedOn w:val="AODocTxt"/>
    <w:qFormat/>
    <w:pPr>
      <w:numPr>
        <w:ilvl w:val="4"/>
      </w:numPr>
      <w:tabs>
        <w:tab w:val="left" w:pos="3600"/>
      </w:tabs>
      <w:ind w:left="3600" w:hanging="360"/>
    </w:pPr>
  </w:style>
  <w:style w:type="paragraph" w:customStyle="1" w:styleId="AODocTxtL5">
    <w:name w:val="AODocTxtL5"/>
    <w:basedOn w:val="AODocTxt"/>
    <w:qFormat/>
    <w:pPr>
      <w:numPr>
        <w:ilvl w:val="5"/>
      </w:numPr>
      <w:tabs>
        <w:tab w:val="left" w:pos="4320"/>
      </w:tabs>
      <w:ind w:left="4320" w:hanging="360"/>
    </w:pPr>
  </w:style>
  <w:style w:type="paragraph" w:customStyle="1" w:styleId="AODocTxtL6">
    <w:name w:val="AODocTxtL6"/>
    <w:basedOn w:val="AODocTxt"/>
    <w:qFormat/>
    <w:pPr>
      <w:numPr>
        <w:ilvl w:val="6"/>
      </w:numPr>
      <w:tabs>
        <w:tab w:val="left" w:pos="5040"/>
      </w:tabs>
      <w:ind w:left="5040" w:hanging="360"/>
    </w:pPr>
  </w:style>
  <w:style w:type="paragraph" w:customStyle="1" w:styleId="AODocTxtL7">
    <w:name w:val="AODocTxtL7"/>
    <w:basedOn w:val="AODocTxt"/>
    <w:qFormat/>
    <w:pPr>
      <w:numPr>
        <w:ilvl w:val="7"/>
      </w:numPr>
      <w:tabs>
        <w:tab w:val="left" w:pos="5760"/>
      </w:tabs>
      <w:ind w:left="5760" w:hanging="360"/>
    </w:pPr>
  </w:style>
  <w:style w:type="paragraph" w:customStyle="1" w:styleId="AODocTxtL8">
    <w:name w:val="AODocTxtL8"/>
    <w:basedOn w:val="AODocTxt"/>
    <w:qFormat/>
    <w:pPr>
      <w:numPr>
        <w:ilvl w:val="8"/>
      </w:numPr>
      <w:tabs>
        <w:tab w:val="left" w:pos="6480"/>
      </w:tabs>
      <w:ind w:left="6480" w:hanging="360"/>
    </w:pPr>
  </w:style>
  <w:style w:type="paragraph" w:customStyle="1" w:styleId="AOGenNum1">
    <w:name w:val="AOGenNum1"/>
    <w:basedOn w:val="AOBodyTxt"/>
    <w:next w:val="AOGenNum1Para"/>
    <w:qFormat/>
    <w:pPr>
      <w:keepNext/>
      <w:numPr>
        <w:numId w:val="14"/>
      </w:numPr>
    </w:pPr>
    <w:rPr>
      <w:b/>
      <w:caps/>
    </w:rPr>
  </w:style>
  <w:style w:type="paragraph" w:customStyle="1" w:styleId="AOGenNum1Para">
    <w:name w:val="AOGenNum1Para"/>
    <w:basedOn w:val="AOGenNum1"/>
    <w:next w:val="AOGenNum1List"/>
    <w:qFormat/>
    <w:pPr>
      <w:numPr>
        <w:ilvl w:val="1"/>
      </w:numPr>
      <w:tabs>
        <w:tab w:val="clear" w:pos="720"/>
        <w:tab w:val="left" w:pos="1588"/>
      </w:tabs>
      <w:ind w:left="1588" w:hanging="737"/>
    </w:pPr>
    <w:rPr>
      <w:caps w:val="0"/>
    </w:rPr>
  </w:style>
  <w:style w:type="paragraph" w:customStyle="1" w:styleId="AOGenNum1List">
    <w:name w:val="AOGenNum1List"/>
    <w:basedOn w:val="AOGenNum1"/>
    <w:qFormat/>
    <w:pPr>
      <w:keepNext w:val="0"/>
      <w:numPr>
        <w:ilvl w:val="2"/>
      </w:numPr>
      <w:tabs>
        <w:tab w:val="clear" w:pos="720"/>
        <w:tab w:val="left" w:pos="851"/>
      </w:tabs>
      <w:ind w:left="851" w:hanging="431"/>
    </w:pPr>
    <w:rPr>
      <w:b w:val="0"/>
      <w:caps w:val="0"/>
    </w:rPr>
  </w:style>
  <w:style w:type="paragraph" w:customStyle="1" w:styleId="AOGenNum2">
    <w:name w:val="AOGenNum2"/>
    <w:basedOn w:val="AOBodyTxt"/>
    <w:next w:val="AOGenNum2Para"/>
    <w:qFormat/>
    <w:pPr>
      <w:keepNext/>
      <w:numPr>
        <w:numId w:val="15"/>
      </w:numPr>
    </w:pPr>
    <w:rPr>
      <w:b/>
    </w:rPr>
  </w:style>
  <w:style w:type="paragraph" w:customStyle="1" w:styleId="AOGenNum2Para">
    <w:name w:val="AOGenNum2Para"/>
    <w:basedOn w:val="AOGenNum2"/>
    <w:next w:val="AOGenNum2List"/>
    <w:qFormat/>
    <w:pPr>
      <w:keepNext w:val="0"/>
      <w:numPr>
        <w:ilvl w:val="1"/>
      </w:numPr>
      <w:tabs>
        <w:tab w:val="clear" w:pos="720"/>
        <w:tab w:val="left" w:pos="1588"/>
      </w:tabs>
      <w:ind w:left="1588" w:hanging="737"/>
    </w:pPr>
    <w:rPr>
      <w:b w:val="0"/>
    </w:rPr>
  </w:style>
  <w:style w:type="paragraph" w:customStyle="1" w:styleId="AOGenNum2List">
    <w:name w:val="AOGenNum2List"/>
    <w:basedOn w:val="AOGenNum2"/>
    <w:qFormat/>
    <w:pPr>
      <w:keepNext w:val="0"/>
      <w:numPr>
        <w:ilvl w:val="2"/>
      </w:numPr>
      <w:tabs>
        <w:tab w:val="clear" w:pos="720"/>
        <w:tab w:val="left" w:pos="1021"/>
      </w:tabs>
      <w:ind w:left="1021" w:hanging="601"/>
    </w:pPr>
    <w:rPr>
      <w:b w:val="0"/>
    </w:rPr>
  </w:style>
  <w:style w:type="paragraph" w:customStyle="1" w:styleId="AOGenNum3">
    <w:name w:val="AOGenNum3"/>
    <w:basedOn w:val="AOBodyTxt"/>
    <w:next w:val="AOGenNum3List"/>
    <w:qFormat/>
    <w:pPr>
      <w:numPr>
        <w:numId w:val="16"/>
      </w:numPr>
    </w:pPr>
  </w:style>
  <w:style w:type="paragraph" w:customStyle="1" w:styleId="AOGenNum3List">
    <w:name w:val="AOGenNum3List"/>
    <w:basedOn w:val="AOGenNum3"/>
    <w:qFormat/>
    <w:pPr>
      <w:numPr>
        <w:ilvl w:val="1"/>
      </w:numPr>
      <w:tabs>
        <w:tab w:val="clear" w:pos="720"/>
        <w:tab w:val="left" w:pos="840"/>
      </w:tabs>
      <w:ind w:left="840" w:hanging="420"/>
    </w:pPr>
  </w:style>
  <w:style w:type="paragraph" w:customStyle="1" w:styleId="AOHead1">
    <w:name w:val="AOHead1"/>
    <w:basedOn w:val="AOHeadings"/>
    <w:next w:val="AODocTxtL1"/>
    <w:qFormat/>
    <w:pPr>
      <w:keepNext/>
      <w:numPr>
        <w:numId w:val="17"/>
      </w:numPr>
      <w:outlineLvl w:val="0"/>
    </w:pPr>
    <w:rPr>
      <w:b/>
      <w:caps/>
      <w:kern w:val="28"/>
    </w:rPr>
  </w:style>
  <w:style w:type="paragraph" w:customStyle="1" w:styleId="AOHeadings">
    <w:name w:val="AOHeadings"/>
    <w:basedOn w:val="AOBodyTxt"/>
    <w:next w:val="AODocTxt"/>
    <w:qFormat/>
  </w:style>
  <w:style w:type="paragraph" w:customStyle="1" w:styleId="AOHead2">
    <w:name w:val="AOHead2"/>
    <w:basedOn w:val="AOHeadings"/>
    <w:next w:val="AODocTxtL1"/>
    <w:qFormat/>
    <w:pPr>
      <w:keepNext/>
      <w:numPr>
        <w:ilvl w:val="1"/>
        <w:numId w:val="17"/>
      </w:numPr>
      <w:outlineLvl w:val="1"/>
    </w:pPr>
    <w:rPr>
      <w:b/>
    </w:rPr>
  </w:style>
  <w:style w:type="paragraph" w:customStyle="1" w:styleId="AOHead3">
    <w:name w:val="AOHead3"/>
    <w:basedOn w:val="AOHeadings"/>
    <w:next w:val="AODocTxtL2"/>
    <w:qFormat/>
    <w:pPr>
      <w:numPr>
        <w:ilvl w:val="2"/>
        <w:numId w:val="17"/>
      </w:numPr>
      <w:outlineLvl w:val="2"/>
    </w:pPr>
  </w:style>
  <w:style w:type="paragraph" w:customStyle="1" w:styleId="AOHead4">
    <w:name w:val="AOHead4"/>
    <w:basedOn w:val="AOHeadings"/>
    <w:next w:val="AODocTxtL3"/>
    <w:qFormat/>
    <w:pPr>
      <w:numPr>
        <w:ilvl w:val="3"/>
        <w:numId w:val="17"/>
      </w:numPr>
      <w:outlineLvl w:val="3"/>
    </w:pPr>
  </w:style>
  <w:style w:type="paragraph" w:customStyle="1" w:styleId="AOHead5">
    <w:name w:val="AOHead5"/>
    <w:basedOn w:val="AOHeadings"/>
    <w:next w:val="AODocTxtL4"/>
    <w:qFormat/>
    <w:pPr>
      <w:numPr>
        <w:ilvl w:val="4"/>
        <w:numId w:val="17"/>
      </w:numPr>
      <w:outlineLvl w:val="4"/>
    </w:pPr>
  </w:style>
  <w:style w:type="paragraph" w:customStyle="1" w:styleId="AOHead6">
    <w:name w:val="AOHead6"/>
    <w:basedOn w:val="AOHeadings"/>
    <w:next w:val="AODocTxtL5"/>
    <w:qFormat/>
    <w:pPr>
      <w:numPr>
        <w:ilvl w:val="5"/>
        <w:numId w:val="17"/>
      </w:numPr>
      <w:outlineLvl w:val="5"/>
    </w:pPr>
  </w:style>
  <w:style w:type="paragraph" w:customStyle="1" w:styleId="AOAltHead1">
    <w:name w:val="AOAltHead1"/>
    <w:basedOn w:val="AOHead1"/>
    <w:next w:val="AODocTxtL1"/>
    <w:qFormat/>
    <w:pPr>
      <w:keepNext w:val="0"/>
      <w:tabs>
        <w:tab w:val="clear" w:pos="720"/>
      </w:tabs>
    </w:pPr>
    <w:rPr>
      <w:b w:val="0"/>
      <w:caps w:val="0"/>
    </w:rPr>
  </w:style>
  <w:style w:type="paragraph" w:customStyle="1" w:styleId="AOAltHead2">
    <w:name w:val="AOAltHead2"/>
    <w:basedOn w:val="AOHead2"/>
    <w:next w:val="AODocTxtL1"/>
    <w:qFormat/>
    <w:pPr>
      <w:keepNext w:val="0"/>
      <w:tabs>
        <w:tab w:val="clear" w:pos="720"/>
      </w:tabs>
    </w:pPr>
    <w:rPr>
      <w:b w:val="0"/>
    </w:rPr>
  </w:style>
  <w:style w:type="paragraph" w:customStyle="1" w:styleId="AOAltHead3">
    <w:name w:val="AOAltHead3"/>
    <w:basedOn w:val="AOHead3"/>
    <w:next w:val="AODocTxtL1"/>
    <w:qFormat/>
    <w:pPr>
      <w:tabs>
        <w:tab w:val="clear" w:pos="1440"/>
      </w:tabs>
      <w:ind w:left="720"/>
    </w:pPr>
  </w:style>
  <w:style w:type="paragraph" w:customStyle="1" w:styleId="AOAltHead4">
    <w:name w:val="AOAltHead4"/>
    <w:basedOn w:val="AOHead4"/>
    <w:next w:val="AODocTxtL2"/>
    <w:qFormat/>
    <w:pPr>
      <w:tabs>
        <w:tab w:val="clear" w:pos="2160"/>
      </w:tabs>
      <w:ind w:left="1440"/>
    </w:pPr>
  </w:style>
  <w:style w:type="paragraph" w:customStyle="1" w:styleId="AOAltHead5">
    <w:name w:val="AOAltHead5"/>
    <w:basedOn w:val="AOHead5"/>
    <w:next w:val="AODocTxtL3"/>
    <w:qFormat/>
    <w:pPr>
      <w:tabs>
        <w:tab w:val="clear" w:pos="2880"/>
      </w:tabs>
      <w:ind w:left="2160"/>
    </w:pPr>
  </w:style>
  <w:style w:type="paragraph" w:customStyle="1" w:styleId="AOAltHead6">
    <w:name w:val="AOAltHead6"/>
    <w:basedOn w:val="AOHead6"/>
    <w:next w:val="AODocTxtL4"/>
    <w:qFormat/>
    <w:pPr>
      <w:tabs>
        <w:tab w:val="clear" w:pos="3600"/>
      </w:tabs>
      <w:ind w:left="2880"/>
    </w:pPr>
  </w:style>
  <w:style w:type="paragraph" w:customStyle="1" w:styleId="AOListNumber">
    <w:name w:val="AOListNumber"/>
    <w:basedOn w:val="AOBodyTxt"/>
    <w:qFormat/>
    <w:pPr>
      <w:numPr>
        <w:numId w:val="18"/>
      </w:numPr>
      <w:tabs>
        <w:tab w:val="clear" w:pos="720"/>
      </w:tabs>
    </w:pPr>
  </w:style>
  <w:style w:type="paragraph" w:customStyle="1" w:styleId="AOBullet2">
    <w:name w:val="AOBullet2"/>
    <w:basedOn w:val="AOBullet"/>
    <w:qFormat/>
    <w:pPr>
      <w:numPr>
        <w:numId w:val="19"/>
      </w:numPr>
      <w:tabs>
        <w:tab w:val="left" w:pos="1280"/>
      </w:tabs>
      <w:spacing w:before="120"/>
      <w:ind w:left="1280"/>
    </w:pPr>
  </w:style>
  <w:style w:type="paragraph" w:customStyle="1" w:styleId="AOBullet3">
    <w:name w:val="AOBullet3"/>
    <w:basedOn w:val="AOBodyTxt"/>
    <w:qFormat/>
    <w:pPr>
      <w:numPr>
        <w:numId w:val="20"/>
      </w:numPr>
      <w:tabs>
        <w:tab w:val="clear" w:pos="720"/>
      </w:tabs>
      <w:spacing w:before="120"/>
    </w:pPr>
  </w:style>
  <w:style w:type="paragraph" w:customStyle="1" w:styleId="AOBullet4">
    <w:name w:val="AOBullet4"/>
    <w:basedOn w:val="AOBodyTxt"/>
    <w:qFormat/>
    <w:pPr>
      <w:numPr>
        <w:numId w:val="21"/>
      </w:numPr>
      <w:spacing w:before="120"/>
    </w:pPr>
  </w:style>
  <w:style w:type="paragraph" w:customStyle="1" w:styleId="afff8">
    <w:name w:val="正文所"/>
    <w:basedOn w:val="a1"/>
    <w:qFormat/>
    <w:pPr>
      <w:spacing w:line="360" w:lineRule="auto"/>
      <w:ind w:firstLineChars="200" w:firstLine="420"/>
    </w:pPr>
  </w:style>
  <w:style w:type="paragraph" w:customStyle="1" w:styleId="AOFPBP">
    <w:name w:val="AOFPBP"/>
    <w:basedOn w:val="AONormal"/>
    <w:next w:val="AOFPTxt"/>
    <w:qFormat/>
  </w:style>
  <w:style w:type="paragraph" w:customStyle="1" w:styleId="AOFPTxt">
    <w:name w:val="AOFPTxt"/>
    <w:basedOn w:val="AOFPBP"/>
    <w:qFormat/>
    <w:rPr>
      <w:b/>
    </w:rPr>
  </w:style>
  <w:style w:type="paragraph" w:customStyle="1" w:styleId="AOFPCopyright">
    <w:name w:val="AOFPCopyright"/>
    <w:basedOn w:val="AOFPTxt"/>
    <w:qFormat/>
    <w:rPr>
      <w:caps/>
    </w:rPr>
  </w:style>
  <w:style w:type="paragraph" w:customStyle="1" w:styleId="AOFPDate">
    <w:name w:val="AOFPDate"/>
    <w:basedOn w:val="AOFPTxt"/>
    <w:qFormat/>
    <w:rPr>
      <w:caps/>
    </w:rPr>
  </w:style>
  <w:style w:type="paragraph" w:customStyle="1" w:styleId="AOFPTitle">
    <w:name w:val="AOFPTitle"/>
    <w:basedOn w:val="AOFPTxt"/>
    <w:qFormat/>
    <w:rPr>
      <w:caps/>
      <w:sz w:val="32"/>
    </w:rPr>
  </w:style>
  <w:style w:type="paragraph" w:customStyle="1" w:styleId="AOFPTxtCaps">
    <w:name w:val="AOFPTxtCaps"/>
    <w:basedOn w:val="AOFPTxt"/>
    <w:qFormat/>
    <w:rPr>
      <w:caps/>
    </w:rPr>
  </w:style>
  <w:style w:type="character" w:customStyle="1" w:styleId="AOHidden">
    <w:name w:val="AOHidden"/>
    <w:qFormat/>
    <w:rPr>
      <w:vanish/>
      <w:color w:val="auto"/>
    </w:rPr>
  </w:style>
  <w:style w:type="paragraph" w:customStyle="1" w:styleId="AOLocation">
    <w:name w:val="AOLocation"/>
    <w:basedOn w:val="AOFPBP"/>
    <w:qFormat/>
    <w:pPr>
      <w:spacing w:before="160"/>
      <w:jc w:val="center"/>
    </w:pPr>
    <w:rPr>
      <w:b/>
      <w:caps/>
    </w:rPr>
  </w:style>
  <w:style w:type="paragraph" w:customStyle="1" w:styleId="AOSignatory">
    <w:name w:val="AOSignatory"/>
    <w:basedOn w:val="AOBodyTxt"/>
    <w:next w:val="AODocTxt"/>
    <w:qFormat/>
    <w:pPr>
      <w:pageBreakBefore/>
      <w:spacing w:after="240"/>
      <w:jc w:val="center"/>
    </w:pPr>
    <w:rPr>
      <w:b/>
      <w:caps/>
    </w:rPr>
  </w:style>
  <w:style w:type="paragraph" w:customStyle="1" w:styleId="AOTitle">
    <w:name w:val="AOTitle"/>
    <w:basedOn w:val="AOHeadings"/>
    <w:next w:val="AODocTxt"/>
    <w:qFormat/>
    <w:pPr>
      <w:jc w:val="center"/>
    </w:pPr>
    <w:rPr>
      <w:b/>
      <w:caps/>
    </w:rPr>
  </w:style>
  <w:style w:type="paragraph" w:customStyle="1" w:styleId="AOTOCHeading">
    <w:name w:val="AOTOCHeading"/>
    <w:basedOn w:val="AOHeadings"/>
    <w:next w:val="AODocTxt"/>
    <w:qFormat/>
    <w:pPr>
      <w:tabs>
        <w:tab w:val="right" w:pos="9000"/>
      </w:tabs>
      <w:spacing w:after="240"/>
    </w:pPr>
    <w:rPr>
      <w:b/>
    </w:rPr>
  </w:style>
  <w:style w:type="paragraph" w:customStyle="1" w:styleId="AOTOCs">
    <w:name w:val="AOTOCs"/>
    <w:basedOn w:val="AONormal"/>
    <w:next w:val="11"/>
    <w:qFormat/>
    <w:pPr>
      <w:jc w:val="both"/>
    </w:pPr>
  </w:style>
  <w:style w:type="paragraph" w:customStyle="1" w:styleId="AOTOCTitle">
    <w:name w:val="AOTOCTitle"/>
    <w:basedOn w:val="AOHeadings"/>
    <w:next w:val="AOTOCHeading"/>
    <w:qFormat/>
    <w:pPr>
      <w:jc w:val="center"/>
    </w:pPr>
    <w:rPr>
      <w:b/>
      <w:caps/>
    </w:rPr>
  </w:style>
  <w:style w:type="character" w:customStyle="1" w:styleId="afa">
    <w:name w:val="尾注文本 字符"/>
    <w:link w:val="af9"/>
    <w:qFormat/>
    <w:rPr>
      <w:rFonts w:ascii="Times New Roman" w:eastAsia="宋体" w:hAnsi="Times New Roman" w:cs="Times New Roman"/>
      <w:kern w:val="0"/>
      <w:sz w:val="16"/>
      <w:lang w:val="en-GB" w:eastAsia="en-US"/>
    </w:rPr>
  </w:style>
  <w:style w:type="paragraph" w:customStyle="1" w:styleId="AOHeading1">
    <w:name w:val="AOHeading1"/>
    <w:basedOn w:val="AOHeadings"/>
    <w:next w:val="AODocTxt"/>
    <w:qFormat/>
    <w:pPr>
      <w:keepNext/>
      <w:outlineLvl w:val="0"/>
    </w:pPr>
    <w:rPr>
      <w:b/>
      <w:caps/>
      <w:kern w:val="28"/>
    </w:rPr>
  </w:style>
  <w:style w:type="paragraph" w:customStyle="1" w:styleId="AOHeading2">
    <w:name w:val="AOHeading2"/>
    <w:basedOn w:val="AOHeadings"/>
    <w:next w:val="AODocTxt"/>
    <w:qFormat/>
    <w:pPr>
      <w:keepNext/>
      <w:outlineLvl w:val="1"/>
    </w:pPr>
    <w:rPr>
      <w:b/>
    </w:rPr>
  </w:style>
  <w:style w:type="paragraph" w:customStyle="1" w:styleId="AOHeading3">
    <w:name w:val="AOHeading3"/>
    <w:basedOn w:val="AOHeadings"/>
    <w:next w:val="AODocTxtL1"/>
    <w:qFormat/>
    <w:pPr>
      <w:keepNext/>
      <w:ind w:left="720"/>
      <w:outlineLvl w:val="2"/>
    </w:pPr>
    <w:rPr>
      <w:b/>
    </w:rPr>
  </w:style>
  <w:style w:type="paragraph" w:customStyle="1" w:styleId="AOHeading4">
    <w:name w:val="AOHeading4"/>
    <w:basedOn w:val="AOHeadings"/>
    <w:next w:val="AODocTxt"/>
    <w:qFormat/>
    <w:pPr>
      <w:keepNext/>
      <w:outlineLvl w:val="3"/>
    </w:pPr>
    <w:rPr>
      <w:i/>
    </w:rPr>
  </w:style>
  <w:style w:type="paragraph" w:customStyle="1" w:styleId="AOHeading5">
    <w:name w:val="AOHeading5"/>
    <w:basedOn w:val="AOHeadings"/>
    <w:next w:val="AODocTxtL1"/>
    <w:qFormat/>
    <w:pPr>
      <w:keepNext/>
      <w:ind w:left="720"/>
      <w:outlineLvl w:val="4"/>
    </w:pPr>
    <w:rPr>
      <w:i/>
    </w:rPr>
  </w:style>
  <w:style w:type="paragraph" w:customStyle="1" w:styleId="AOHeading6">
    <w:name w:val="AOHeading6"/>
    <w:basedOn w:val="AOHeadings"/>
    <w:next w:val="AODocTxt"/>
    <w:qFormat/>
    <w:pPr>
      <w:keepNext/>
      <w:outlineLvl w:val="5"/>
    </w:pPr>
    <w:rPr>
      <w:b/>
      <w:i/>
    </w:rPr>
  </w:style>
  <w:style w:type="paragraph" w:customStyle="1" w:styleId="AOHeading7">
    <w:name w:val="AOHeading7"/>
    <w:basedOn w:val="AOHeadings"/>
    <w:next w:val="AODocTxtL1"/>
    <w:qFormat/>
    <w:pPr>
      <w:keepNext/>
      <w:ind w:left="720"/>
      <w:outlineLvl w:val="6"/>
    </w:pPr>
    <w:rPr>
      <w:b/>
      <w:i/>
    </w:rPr>
  </w:style>
  <w:style w:type="paragraph" w:customStyle="1" w:styleId="AONormal10">
    <w:name w:val="AONormal10"/>
    <w:basedOn w:val="AONormal"/>
    <w:qFormat/>
    <w:rPr>
      <w:sz w:val="20"/>
    </w:rPr>
  </w:style>
  <w:style w:type="paragraph" w:customStyle="1" w:styleId="AONormal8C">
    <w:name w:val="AONormal8C"/>
    <w:basedOn w:val="AONormal8L"/>
    <w:qFormat/>
    <w:pPr>
      <w:jc w:val="center"/>
    </w:pPr>
  </w:style>
  <w:style w:type="paragraph" w:customStyle="1" w:styleId="AONormal8L">
    <w:name w:val="AONormal8L"/>
    <w:basedOn w:val="AONormal"/>
    <w:qFormat/>
    <w:pPr>
      <w:spacing w:line="220" w:lineRule="atLeast"/>
    </w:pPr>
    <w:rPr>
      <w:rFonts w:ascii="Arial" w:hAnsi="Arial"/>
      <w:sz w:val="16"/>
    </w:rPr>
  </w:style>
  <w:style w:type="paragraph" w:customStyle="1" w:styleId="AONormal8R">
    <w:name w:val="AONormal8R"/>
    <w:basedOn w:val="AONormal8L"/>
    <w:qFormat/>
    <w:pPr>
      <w:jc w:val="right"/>
    </w:pPr>
  </w:style>
  <w:style w:type="paragraph" w:customStyle="1" w:styleId="AONormalBold">
    <w:name w:val="AONormalBold"/>
    <w:basedOn w:val="AONormal"/>
    <w:qFormat/>
    <w:rPr>
      <w:b/>
    </w:rPr>
  </w:style>
  <w:style w:type="paragraph" w:customStyle="1" w:styleId="AONormal6L">
    <w:name w:val="AONormal6L"/>
    <w:basedOn w:val="AONormal8L"/>
    <w:qFormat/>
    <w:pPr>
      <w:spacing w:line="160" w:lineRule="atLeast"/>
    </w:pPr>
    <w:rPr>
      <w:sz w:val="12"/>
    </w:rPr>
  </w:style>
  <w:style w:type="paragraph" w:customStyle="1" w:styleId="AOTitle18">
    <w:name w:val="AOTitle18"/>
    <w:basedOn w:val="AONormal"/>
    <w:qFormat/>
    <w:rPr>
      <w:b/>
      <w:sz w:val="36"/>
      <w:szCs w:val="36"/>
    </w:rPr>
  </w:style>
  <w:style w:type="paragraph" w:customStyle="1" w:styleId="AONormal8Ci">
    <w:name w:val="AONormal8Ci"/>
    <w:basedOn w:val="AONormal8C"/>
    <w:qFormat/>
    <w:pPr>
      <w:spacing w:after="120" w:line="240" w:lineRule="auto"/>
    </w:pPr>
    <w:rPr>
      <w:i/>
      <w:szCs w:val="16"/>
    </w:rPr>
  </w:style>
  <w:style w:type="paragraph" w:customStyle="1" w:styleId="AOBPTxtL">
    <w:name w:val="AOBPTxtL"/>
    <w:basedOn w:val="AOFPBP"/>
    <w:qFormat/>
  </w:style>
  <w:style w:type="paragraph" w:customStyle="1" w:styleId="AOBPTitle">
    <w:name w:val="AOBPTitle"/>
    <w:basedOn w:val="AOBPTxtL"/>
    <w:qFormat/>
    <w:rPr>
      <w:b/>
      <w:caps/>
    </w:rPr>
  </w:style>
  <w:style w:type="paragraph" w:customStyle="1" w:styleId="AOBPTxtC">
    <w:name w:val="AOBPTxtC"/>
    <w:basedOn w:val="AOBPTxtL"/>
    <w:qFormat/>
    <w:pPr>
      <w:jc w:val="center"/>
    </w:pPr>
  </w:style>
  <w:style w:type="paragraph" w:customStyle="1" w:styleId="AOBPTxtR">
    <w:name w:val="AOBPTxtR"/>
    <w:basedOn w:val="AOBPTxtL"/>
    <w:qFormat/>
    <w:pPr>
      <w:jc w:val="right"/>
    </w:pPr>
  </w:style>
  <w:style w:type="paragraph" w:customStyle="1" w:styleId="AOTOC1">
    <w:name w:val="AOTOC1"/>
    <w:basedOn w:val="AOTOCs"/>
    <w:qFormat/>
    <w:pPr>
      <w:tabs>
        <w:tab w:val="left" w:pos="720"/>
        <w:tab w:val="right" w:leader="dot" w:pos="9027"/>
      </w:tabs>
    </w:pPr>
    <w:rPr>
      <w:b/>
      <w:caps/>
    </w:rPr>
  </w:style>
  <w:style w:type="paragraph" w:customStyle="1" w:styleId="AOTOC2">
    <w:name w:val="AOTOC2"/>
    <w:basedOn w:val="AOTOCs"/>
    <w:qFormat/>
    <w:pPr>
      <w:tabs>
        <w:tab w:val="left" w:pos="720"/>
        <w:tab w:val="right" w:leader="dot" w:pos="9027"/>
      </w:tabs>
    </w:pPr>
  </w:style>
  <w:style w:type="paragraph" w:customStyle="1" w:styleId="AOTOC3">
    <w:name w:val="AOTOC3"/>
    <w:basedOn w:val="AOTOCs"/>
    <w:qFormat/>
    <w:pPr>
      <w:tabs>
        <w:tab w:val="right" w:leader="dot" w:pos="9027"/>
      </w:tabs>
      <w:ind w:left="720"/>
    </w:pPr>
    <w:rPr>
      <w:b/>
    </w:rPr>
  </w:style>
  <w:style w:type="paragraph" w:customStyle="1" w:styleId="AOTOC4">
    <w:name w:val="AOTOC4"/>
    <w:basedOn w:val="AOTOCs"/>
    <w:qFormat/>
    <w:pPr>
      <w:tabs>
        <w:tab w:val="right" w:leader="dot" w:pos="9027"/>
      </w:tabs>
      <w:ind w:left="720"/>
    </w:pPr>
  </w:style>
  <w:style w:type="paragraph" w:customStyle="1" w:styleId="AOTOC5">
    <w:name w:val="AOTOC5"/>
    <w:basedOn w:val="AOTOCs"/>
    <w:qFormat/>
    <w:pPr>
      <w:tabs>
        <w:tab w:val="right" w:leader="dot" w:pos="9027"/>
      </w:tabs>
      <w:ind w:left="720"/>
    </w:pPr>
    <w:rPr>
      <w:i/>
    </w:rPr>
  </w:style>
  <w:style w:type="paragraph" w:customStyle="1" w:styleId="AONormal8LBold">
    <w:name w:val="AONormal8LBold"/>
    <w:basedOn w:val="AONormal8L"/>
    <w:qFormat/>
    <w:rPr>
      <w:b/>
    </w:rPr>
  </w:style>
  <w:style w:type="paragraph" w:customStyle="1" w:styleId="AONormal6R">
    <w:name w:val="AONormal6R"/>
    <w:basedOn w:val="AONormal6L"/>
    <w:qFormat/>
    <w:pPr>
      <w:jc w:val="right"/>
    </w:pPr>
  </w:style>
  <w:style w:type="paragraph" w:customStyle="1" w:styleId="AONormal6C">
    <w:name w:val="AONormal6C"/>
    <w:basedOn w:val="AONormal6L"/>
    <w:qFormat/>
    <w:pPr>
      <w:jc w:val="center"/>
    </w:pPr>
  </w:style>
  <w:style w:type="paragraph" w:customStyle="1" w:styleId="AOBodyJustified">
    <w:name w:val="AOBodyJustified"/>
    <w:basedOn w:val="AOBodyTxt"/>
    <w:qFormat/>
    <w:pPr>
      <w:jc w:val="both"/>
    </w:pPr>
  </w:style>
  <w:style w:type="paragraph" w:customStyle="1" w:styleId="16">
    <w:name w:val="批注框文本1"/>
    <w:basedOn w:val="a1"/>
    <w:qFormat/>
    <w:rPr>
      <w:rFonts w:ascii="Tahoma" w:hAnsi="Tahoma" w:cs="Tahoma"/>
      <w:sz w:val="16"/>
      <w:szCs w:val="16"/>
    </w:rPr>
  </w:style>
  <w:style w:type="character" w:customStyle="1" w:styleId="lan18">
    <w:name w:val="lan18"/>
    <w:basedOn w:val="a2"/>
    <w:qFormat/>
  </w:style>
  <w:style w:type="character" w:customStyle="1" w:styleId="HTML0">
    <w:name w:val="HTML 预设格式 字符"/>
    <w:link w:val="HTML"/>
    <w:qFormat/>
    <w:rPr>
      <w:rFonts w:ascii="Arial Unicode MS" w:eastAsia="Arial Unicode MS" w:hAnsi="Arial Unicode MS" w:cs="Arial Unicode MS"/>
      <w:kern w:val="0"/>
      <w:sz w:val="20"/>
      <w:szCs w:val="20"/>
    </w:rPr>
  </w:style>
  <w:style w:type="paragraph" w:customStyle="1" w:styleId="Char2">
    <w:name w:val="Char2"/>
    <w:basedOn w:val="a1"/>
    <w:qFormat/>
  </w:style>
  <w:style w:type="paragraph" w:customStyle="1" w:styleId="afff9">
    <w:name w:val="中文文本"/>
    <w:basedOn w:val="a1"/>
    <w:qFormat/>
    <w:pPr>
      <w:adjustRightInd w:val="0"/>
      <w:spacing w:before="120" w:after="120" w:line="312" w:lineRule="atLeast"/>
      <w:textAlignment w:val="baseline"/>
    </w:pPr>
    <w:rPr>
      <w:kern w:val="0"/>
      <w:sz w:val="24"/>
      <w:szCs w:val="20"/>
    </w:rPr>
  </w:style>
  <w:style w:type="paragraph" w:customStyle="1" w:styleId="CharCharCharCharCharChar1CharCharChar">
    <w:name w:val="Char Char Char Char Char Char1 Char Char Char"/>
    <w:basedOn w:val="a1"/>
    <w:qFormat/>
    <w:pPr>
      <w:autoSpaceDE w:val="0"/>
      <w:autoSpaceDN w:val="0"/>
      <w:adjustRightInd w:val="0"/>
      <w:jc w:val="left"/>
      <w:textAlignment w:val="baseline"/>
    </w:pPr>
    <w:rPr>
      <w:rFonts w:ascii="宋体"/>
      <w:kern w:val="0"/>
      <w:sz w:val="34"/>
      <w:szCs w:val="20"/>
    </w:rPr>
  </w:style>
  <w:style w:type="paragraph" w:customStyle="1" w:styleId="Char">
    <w:name w:val="Char"/>
    <w:basedOn w:val="a1"/>
    <w:qFormat/>
    <w:pPr>
      <w:tabs>
        <w:tab w:val="left" w:pos="360"/>
      </w:tabs>
      <w:spacing w:line="560" w:lineRule="exact"/>
    </w:pPr>
    <w:rPr>
      <w:rFonts w:ascii="方正黑体简体" w:eastAsia="方正黑体简体"/>
      <w:sz w:val="30"/>
      <w:szCs w:val="30"/>
    </w:rPr>
  </w:style>
  <w:style w:type="paragraph" w:customStyle="1" w:styleId="17">
    <w:name w:val="修订1"/>
    <w:hidden/>
    <w:uiPriority w:val="99"/>
    <w:qFormat/>
    <w:rPr>
      <w:kern w:val="2"/>
      <w:sz w:val="21"/>
      <w:szCs w:val="24"/>
    </w:rPr>
  </w:style>
  <w:style w:type="paragraph" w:customStyle="1" w:styleId="Style31">
    <w:name w:val="_Style 31"/>
    <w:basedOn w:val="a1"/>
    <w:qFormat/>
    <w:pPr>
      <w:tabs>
        <w:tab w:val="left" w:pos="420"/>
      </w:tabs>
      <w:ind w:left="420" w:hanging="420"/>
    </w:pPr>
    <w:rPr>
      <w:szCs w:val="20"/>
    </w:rPr>
  </w:style>
  <w:style w:type="paragraph" w:customStyle="1" w:styleId="Style39">
    <w:name w:val="_Style 39"/>
    <w:basedOn w:val="a1"/>
    <w:qFormat/>
    <w:pPr>
      <w:tabs>
        <w:tab w:val="left" w:pos="360"/>
      </w:tabs>
      <w:ind w:left="360" w:hanging="360"/>
    </w:pPr>
    <w:rPr>
      <w:szCs w:val="20"/>
    </w:rPr>
  </w:style>
  <w:style w:type="paragraph" w:customStyle="1" w:styleId="TOC1">
    <w:name w:val="TOC 标题1"/>
    <w:basedOn w:val="1"/>
    <w:next w:val="a1"/>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CharCharCharCharChar1Char">
    <w:name w:val="Char Char Char Char Char1 Char"/>
    <w:basedOn w:val="a1"/>
    <w:qFormat/>
  </w:style>
  <w:style w:type="character" w:customStyle="1" w:styleId="da">
    <w:name w:val="da"/>
    <w:basedOn w:val="a2"/>
    <w:qFormat/>
  </w:style>
  <w:style w:type="paragraph" w:customStyle="1" w:styleId="afffa">
    <w:name w:val="项目标题"/>
    <w:basedOn w:val="a1"/>
    <w:qFormat/>
    <w:pPr>
      <w:autoSpaceDE w:val="0"/>
      <w:autoSpaceDN w:val="0"/>
      <w:adjustRightInd w:val="0"/>
      <w:spacing w:line="360" w:lineRule="auto"/>
      <w:textAlignment w:val="baseline"/>
    </w:pPr>
    <w:rPr>
      <w:rFonts w:ascii="黑体" w:eastAsia="黑体"/>
      <w:b/>
      <w:kern w:val="0"/>
      <w:sz w:val="24"/>
      <w:szCs w:val="20"/>
    </w:rPr>
  </w:style>
  <w:style w:type="character" w:customStyle="1" w:styleId="a7">
    <w:name w:val="电子邮件签名 字符"/>
    <w:link w:val="a6"/>
    <w:qFormat/>
    <w:rPr>
      <w:rFonts w:ascii="Times New Roman" w:eastAsia="宋体" w:hAnsi="Times New Roman" w:cs="Times New Roman"/>
      <w:kern w:val="0"/>
      <w:szCs w:val="21"/>
    </w:rPr>
  </w:style>
  <w:style w:type="paragraph" w:customStyle="1" w:styleId="p0">
    <w:name w:val="p0"/>
    <w:basedOn w:val="a1"/>
    <w:qFormat/>
    <w:pPr>
      <w:widowControl/>
      <w:spacing w:before="100" w:beforeAutospacing="1" w:after="100" w:afterAutospacing="1"/>
      <w:jc w:val="left"/>
    </w:pPr>
    <w:rPr>
      <w:rFonts w:ascii="宋体" w:hAnsi="宋体" w:cs="宋体"/>
      <w:kern w:val="0"/>
      <w:sz w:val="24"/>
    </w:rPr>
  </w:style>
  <w:style w:type="character" w:customStyle="1" w:styleId="150">
    <w:name w:val="15"/>
    <w:basedOn w:val="a2"/>
    <w:qFormat/>
  </w:style>
  <w:style w:type="paragraph" w:customStyle="1" w:styleId="ParaCharCharCharCharCharChar">
    <w:name w:val="默认段落字体 Para Char Char Char Char Char Char"/>
    <w:basedOn w:val="a1"/>
    <w:qFormat/>
    <w:pPr>
      <w:tabs>
        <w:tab w:val="left" w:pos="840"/>
      </w:tabs>
      <w:ind w:left="840" w:hanging="360"/>
    </w:pPr>
    <w:rPr>
      <w:sz w:val="24"/>
    </w:rPr>
  </w:style>
  <w:style w:type="character" w:customStyle="1" w:styleId="Char1">
    <w:name w:val="脚注文本 Char1"/>
    <w:uiPriority w:val="99"/>
    <w:qFormat/>
    <w:rPr>
      <w:sz w:val="18"/>
      <w:szCs w:val="18"/>
    </w:rPr>
  </w:style>
  <w:style w:type="character" w:customStyle="1" w:styleId="Char10">
    <w:name w:val="批注文字 Char1"/>
    <w:uiPriority w:val="99"/>
    <w:qFormat/>
    <w:rPr>
      <w:sz w:val="21"/>
    </w:rPr>
  </w:style>
  <w:style w:type="character" w:customStyle="1" w:styleId="Char11">
    <w:name w:val="日期 Char1"/>
    <w:uiPriority w:val="99"/>
    <w:qFormat/>
    <w:rPr>
      <w:sz w:val="21"/>
    </w:rPr>
  </w:style>
  <w:style w:type="character" w:customStyle="1" w:styleId="3Char1">
    <w:name w:val="正文文本 3 Char1"/>
    <w:uiPriority w:val="99"/>
    <w:qFormat/>
    <w:rPr>
      <w:sz w:val="16"/>
      <w:szCs w:val="16"/>
    </w:rPr>
  </w:style>
  <w:style w:type="character" w:customStyle="1" w:styleId="2Char1">
    <w:name w:val="正文文本缩进 2 Char1"/>
    <w:qFormat/>
    <w:rPr>
      <w:sz w:val="21"/>
    </w:rPr>
  </w:style>
  <w:style w:type="character" w:customStyle="1" w:styleId="Char12">
    <w:name w:val="批注主题 Char1"/>
    <w:uiPriority w:val="99"/>
    <w:qFormat/>
    <w:rPr>
      <w:b/>
      <w:bCs/>
      <w:sz w:val="21"/>
    </w:rPr>
  </w:style>
  <w:style w:type="character" w:customStyle="1" w:styleId="affc">
    <w:name w:val="正文首行缩进 字符"/>
    <w:link w:val="affb"/>
    <w:qFormat/>
    <w:rPr>
      <w:rFonts w:ascii="Times New Roman" w:eastAsia="宋体" w:hAnsi="Times New Roman" w:cs="Times New Roman"/>
      <w:sz w:val="24"/>
      <w:szCs w:val="24"/>
    </w:rPr>
  </w:style>
  <w:style w:type="character" w:customStyle="1" w:styleId="Char13">
    <w:name w:val="正文首行缩进 Char1"/>
    <w:uiPriority w:val="99"/>
    <w:qFormat/>
    <w:rPr>
      <w:rFonts w:ascii="Times New Roman" w:eastAsia="宋体" w:hAnsi="Times New Roman" w:cs="Times New Roman"/>
      <w:sz w:val="24"/>
      <w:szCs w:val="24"/>
    </w:rPr>
  </w:style>
  <w:style w:type="paragraph" w:customStyle="1" w:styleId="2">
    <w:name w:val="编号正文2"/>
    <w:basedOn w:val="a1"/>
    <w:qFormat/>
    <w:pPr>
      <w:numPr>
        <w:numId w:val="22"/>
      </w:numPr>
      <w:autoSpaceDE w:val="0"/>
      <w:autoSpaceDN w:val="0"/>
      <w:adjustRightInd w:val="0"/>
      <w:spacing w:after="120" w:line="300" w:lineRule="auto"/>
    </w:pPr>
    <w:rPr>
      <w:rFonts w:ascii="宋体"/>
      <w:kern w:val="0"/>
      <w:szCs w:val="20"/>
    </w:rPr>
  </w:style>
  <w:style w:type="paragraph" w:customStyle="1" w:styleId="c">
    <w:name w:val="c_"/>
    <w:qFormat/>
    <w:pPr>
      <w:widowControl w:val="0"/>
      <w:autoSpaceDE w:val="0"/>
      <w:autoSpaceDN w:val="0"/>
      <w:adjustRightInd w:val="0"/>
      <w:jc w:val="both"/>
    </w:pPr>
    <w:rPr>
      <w:rFonts w:ascii="五" w:eastAsia="五"/>
      <w:sz w:val="24"/>
    </w:rPr>
  </w:style>
  <w:style w:type="paragraph" w:customStyle="1" w:styleId="ParaCharCharCharCharCharCharChar">
    <w:name w:val="默认段落字体 Para Char Char Char Char Char Char Char"/>
    <w:basedOn w:val="a1"/>
    <w:qFormat/>
    <w:pPr>
      <w:widowControl/>
      <w:jc w:val="left"/>
    </w:pPr>
    <w:rPr>
      <w:rFonts w:ascii="Tahoma" w:hAnsi="Tahoma"/>
      <w:color w:val="000000"/>
      <w:kern w:val="0"/>
      <w:sz w:val="24"/>
      <w:szCs w:val="20"/>
    </w:rPr>
  </w:style>
  <w:style w:type="paragraph" w:styleId="afffb">
    <w:name w:val="List Paragraph"/>
    <w:basedOn w:val="a1"/>
    <w:qFormat/>
    <w:pPr>
      <w:ind w:firstLineChars="200" w:firstLine="420"/>
    </w:pPr>
  </w:style>
  <w:style w:type="paragraph" w:customStyle="1" w:styleId="CharChar1">
    <w:name w:val="Char Char1"/>
    <w:basedOn w:val="a1"/>
    <w:qFormat/>
    <w:rPr>
      <w:szCs w:val="20"/>
    </w:rPr>
  </w:style>
  <w:style w:type="paragraph" w:customStyle="1" w:styleId="CharCharCharChar1">
    <w:name w:val="Char Char Char Char1"/>
    <w:basedOn w:val="a1"/>
    <w:qFormat/>
    <w:rPr>
      <w:szCs w:val="20"/>
    </w:rPr>
  </w:style>
  <w:style w:type="paragraph" w:customStyle="1" w:styleId="ParaCharCharCharCharCharCharCharCharCharCharCharCharCharCharCharCharCharCharCharCharCharCharCharChar">
    <w:name w:val="默认段落字体 Para Char Char Char Char Char Char Char Char Char Char Char Char Char Char Char Char Char Char Char Char Char Char Char Char"/>
    <w:basedOn w:val="a1"/>
    <w:qFormat/>
    <w:pPr>
      <w:tabs>
        <w:tab w:val="left" w:pos="840"/>
      </w:tabs>
      <w:ind w:left="840" w:hanging="360"/>
    </w:pPr>
    <w:rPr>
      <w:szCs w:val="20"/>
    </w:rPr>
  </w:style>
  <w:style w:type="character" w:customStyle="1" w:styleId="unnamed11">
    <w:name w:val="unnamed11"/>
    <w:qFormat/>
    <w:rPr>
      <w:rFonts w:ascii="宋体" w:eastAsia="宋体" w:hAnsi="宋体" w:hint="eastAsia"/>
      <w:sz w:val="18"/>
    </w:rPr>
  </w:style>
  <w:style w:type="paragraph" w:customStyle="1" w:styleId="Listbullet">
    <w:name w:val="List_bullet"/>
    <w:basedOn w:val="a1"/>
    <w:qFormat/>
    <w:pPr>
      <w:widowControl/>
      <w:numPr>
        <w:numId w:val="23"/>
      </w:numPr>
      <w:jc w:val="left"/>
    </w:pPr>
    <w:rPr>
      <w:kern w:val="0"/>
      <w:sz w:val="24"/>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1"/>
    <w:qFormat/>
    <w:rPr>
      <w:szCs w:val="20"/>
    </w:rPr>
  </w:style>
  <w:style w:type="paragraph" w:customStyle="1" w:styleId="InfoBlue">
    <w:name w:val="InfoBlue"/>
    <w:basedOn w:val="a1"/>
    <w:next w:val="a9"/>
    <w:qFormat/>
    <w:pPr>
      <w:tabs>
        <w:tab w:val="left" w:pos="420"/>
      </w:tabs>
      <w:spacing w:after="120" w:line="240" w:lineRule="atLeast"/>
      <w:ind w:left="420" w:hanging="420"/>
      <w:jc w:val="left"/>
    </w:pPr>
    <w:rPr>
      <w:rFonts w:ascii="宋体" w:hAnsi="宋体"/>
      <w:szCs w:val="20"/>
    </w:rPr>
  </w:style>
  <w:style w:type="character" w:customStyle="1" w:styleId="Char14">
    <w:name w:val="标题 Char1"/>
    <w:uiPriority w:val="10"/>
    <w:qFormat/>
    <w:rPr>
      <w:rFonts w:ascii="Cambria" w:hAnsi="Cambria" w:cs="Times New Roman"/>
      <w:b/>
      <w:bCs/>
      <w:kern w:val="2"/>
      <w:sz w:val="32"/>
      <w:szCs w:val="32"/>
    </w:rPr>
  </w:style>
  <w:style w:type="character" w:customStyle="1" w:styleId="Char15">
    <w:name w:val="正文文本 Char1"/>
    <w:uiPriority w:val="99"/>
    <w:qFormat/>
    <w:rPr>
      <w:kern w:val="2"/>
      <w:sz w:val="21"/>
    </w:rPr>
  </w:style>
  <w:style w:type="paragraph" w:customStyle="1" w:styleId="CharCharChar">
    <w:name w:val="Char Char Char"/>
    <w:basedOn w:val="a1"/>
    <w:qFormat/>
    <w:rPr>
      <w:szCs w:val="20"/>
    </w:rPr>
  </w:style>
  <w:style w:type="paragraph" w:customStyle="1" w:styleId="CharCharCharCharCharChar1CharCharChar1">
    <w:name w:val="Char Char Char Char Char Char1 Char Char Char1"/>
    <w:basedOn w:val="a1"/>
    <w:qFormat/>
    <w:pPr>
      <w:autoSpaceDE w:val="0"/>
      <w:autoSpaceDN w:val="0"/>
      <w:adjustRightInd w:val="0"/>
      <w:jc w:val="left"/>
      <w:textAlignment w:val="baseline"/>
    </w:pPr>
    <w:rPr>
      <w:rFonts w:ascii="宋体"/>
      <w:kern w:val="0"/>
      <w:sz w:val="34"/>
      <w:szCs w:val="20"/>
    </w:rPr>
  </w:style>
  <w:style w:type="character" w:customStyle="1" w:styleId="heigh1801">
    <w:name w:val="heigh1801"/>
    <w:basedOn w:val="a2"/>
    <w:qFormat/>
  </w:style>
  <w:style w:type="paragraph" w:customStyle="1" w:styleId="Web">
    <w:name w:val="普通 (Web)"/>
    <w:basedOn w:val="a1"/>
    <w:qFormat/>
    <w:pPr>
      <w:widowControl/>
      <w:spacing w:before="100" w:beforeAutospacing="1" w:after="100" w:afterAutospacing="1"/>
      <w:jc w:val="left"/>
    </w:pPr>
    <w:rPr>
      <w:rFonts w:ascii="宋体" w:hAnsi="宋体"/>
      <w:kern w:val="0"/>
      <w:sz w:val="24"/>
    </w:rPr>
  </w:style>
  <w:style w:type="paragraph" w:customStyle="1" w:styleId="Style6">
    <w:name w:val="_Style 6"/>
    <w:basedOn w:val="a1"/>
    <w:next w:val="a1"/>
    <w:qFormat/>
    <w:pPr>
      <w:adjustRightInd w:val="0"/>
      <w:snapToGrid w:val="0"/>
      <w:ind w:firstLineChars="200" w:firstLine="480"/>
    </w:pPr>
    <w:rPr>
      <w:rFonts w:ascii="仿宋_GB2312" w:eastAsia="仿宋_GB2312" w:hAnsi="宋体"/>
      <w:color w:val="000000"/>
      <w:sz w:val="24"/>
      <w:szCs w:val="20"/>
    </w:rPr>
  </w:style>
  <w:style w:type="paragraph" w:customStyle="1" w:styleId="CharCharChar1">
    <w:name w:val="Char Char Char1"/>
    <w:basedOn w:val="a1"/>
    <w:qFormat/>
    <w:rPr>
      <w:szCs w:val="20"/>
    </w:rPr>
  </w:style>
  <w:style w:type="paragraph" w:customStyle="1" w:styleId="2025025">
    <w:name w:val="样式 首行缩进:  2 字符 段前: 0.25 行 段后: 0.25 行"/>
    <w:basedOn w:val="a1"/>
    <w:qFormat/>
    <w:pPr>
      <w:spacing w:beforeLines="25" w:afterLines="25" w:line="300" w:lineRule="auto"/>
      <w:ind w:firstLineChars="200" w:firstLine="420"/>
    </w:pPr>
    <w:rPr>
      <w:szCs w:val="21"/>
    </w:rPr>
  </w:style>
  <w:style w:type="paragraph" w:customStyle="1" w:styleId="UCAlpha2">
    <w:name w:val="UCAlpha 2"/>
    <w:basedOn w:val="a1"/>
    <w:qFormat/>
    <w:pPr>
      <w:widowControl/>
      <w:numPr>
        <w:numId w:val="24"/>
      </w:numPr>
      <w:spacing w:after="140" w:line="290" w:lineRule="auto"/>
    </w:pPr>
    <w:rPr>
      <w:rFonts w:ascii="Arial" w:hAnsi="Arial"/>
      <w:kern w:val="20"/>
      <w:sz w:val="20"/>
      <w:lang w:val="en-GB" w:eastAsia="en-US"/>
    </w:rPr>
  </w:style>
  <w:style w:type="character" w:customStyle="1" w:styleId="f221">
    <w:name w:val="f221"/>
    <w:qFormat/>
    <w:rPr>
      <w:rFonts w:ascii="ˎ̥" w:hAnsi="ˎ̥" w:hint="default"/>
      <w:b/>
      <w:bCs/>
      <w:color w:val="07519A"/>
      <w:sz w:val="33"/>
      <w:szCs w:val="33"/>
    </w:rPr>
  </w:style>
  <w:style w:type="character" w:customStyle="1" w:styleId="hangju">
    <w:name w:val="hangju"/>
    <w:basedOn w:val="a2"/>
    <w:qFormat/>
  </w:style>
  <w:style w:type="paragraph" w:customStyle="1" w:styleId="2H2Heading2HiddenHeading2CCBS">
    <w:name w:val="样式 标题 2H2Heading 2 HiddenHeading 2 CCBS + (西文) 宋体"/>
    <w:basedOn w:val="21"/>
    <w:qFormat/>
    <w:pPr>
      <w:numPr>
        <w:ilvl w:val="0"/>
        <w:numId w:val="0"/>
      </w:numPr>
    </w:pPr>
    <w:rPr>
      <w:rFonts w:ascii="宋体" w:hAnsi="宋体"/>
    </w:rPr>
  </w:style>
  <w:style w:type="paragraph" w:customStyle="1" w:styleId="wz1">
    <w:name w:val="wz1"/>
    <w:basedOn w:val="a1"/>
    <w:qFormat/>
    <w:pPr>
      <w:widowControl/>
      <w:spacing w:before="100" w:beforeAutospacing="1" w:after="100" w:afterAutospacing="1" w:line="245" w:lineRule="atLeast"/>
      <w:jc w:val="left"/>
    </w:pPr>
    <w:rPr>
      <w:rFonts w:ascii="Arial Unicode MS" w:eastAsia="Arial Unicode MS" w:hAnsi="Arial Unicode MS" w:cs="Arial Unicode MS"/>
      <w:color w:val="CC0000"/>
      <w:kern w:val="0"/>
      <w:sz w:val="22"/>
      <w:szCs w:val="22"/>
    </w:rPr>
  </w:style>
  <w:style w:type="paragraph" w:customStyle="1" w:styleId="28">
    <w:name w:val="2"/>
    <w:basedOn w:val="a1"/>
    <w:next w:val="34"/>
    <w:qFormat/>
    <w:pPr>
      <w:adjustRightInd w:val="0"/>
      <w:snapToGrid w:val="0"/>
      <w:ind w:firstLineChars="200" w:firstLine="480"/>
    </w:pPr>
    <w:rPr>
      <w:rFonts w:ascii="仿宋_GB2312" w:eastAsia="仿宋_GB2312" w:hAnsi="宋体" w:cs="Arial"/>
      <w:color w:val="000000"/>
      <w:sz w:val="24"/>
    </w:rPr>
  </w:style>
  <w:style w:type="paragraph" w:customStyle="1" w:styleId="Char16">
    <w:name w:val="Char1"/>
    <w:basedOn w:val="a1"/>
    <w:qFormat/>
  </w:style>
  <w:style w:type="paragraph" w:customStyle="1" w:styleId="Char21">
    <w:name w:val="Char21"/>
    <w:basedOn w:val="a1"/>
    <w:qFormat/>
  </w:style>
  <w:style w:type="paragraph" w:customStyle="1" w:styleId="CharCharCharCharCharCharChar">
    <w:name w:val="Char Char Char Char Char Char Char"/>
    <w:basedOn w:val="a1"/>
    <w:qFormat/>
  </w:style>
  <w:style w:type="paragraph" w:customStyle="1" w:styleId="Char1CharCharCharCharCharCharCharCharCharCharCharChar1CharCharCharCharCharCharCharCharChar">
    <w:name w:val="Char1 Char Char Char Char Char Char Char Char Char Char Char Char1 Char Char Char Char Char Char Char Char Char"/>
    <w:basedOn w:val="a1"/>
    <w:qFormat/>
  </w:style>
  <w:style w:type="character" w:customStyle="1" w:styleId="CharChar19">
    <w:name w:val="Char Char19"/>
    <w:qFormat/>
    <w:locked/>
    <w:rPr>
      <w:rFonts w:ascii="Arial" w:eastAsia="黑体" w:hAnsi="Arial" w:cs="Times New Roman"/>
      <w:kern w:val="0"/>
      <w:sz w:val="20"/>
      <w:szCs w:val="20"/>
    </w:rPr>
  </w:style>
  <w:style w:type="character" w:customStyle="1" w:styleId="CharChar16">
    <w:name w:val="Char Char16"/>
    <w:qFormat/>
    <w:locked/>
    <w:rPr>
      <w:rFonts w:ascii="Times New Roman" w:eastAsia="宋体" w:hAnsi="Times New Roman" w:cs="Times New Roman"/>
      <w:sz w:val="20"/>
      <w:szCs w:val="20"/>
    </w:rPr>
  </w:style>
  <w:style w:type="paragraph" w:customStyle="1" w:styleId="CharCharChar11">
    <w:name w:val="Char Char Char11"/>
    <w:basedOn w:val="a1"/>
    <w:qFormat/>
  </w:style>
  <w:style w:type="paragraph" w:customStyle="1" w:styleId="CharCharCharCharChar1Char1">
    <w:name w:val="Char Char Char Char Char1 Char1"/>
    <w:basedOn w:val="a1"/>
    <w:qFormat/>
  </w:style>
  <w:style w:type="paragraph" w:customStyle="1" w:styleId="CharCharChar2">
    <w:name w:val="Char Char Char2"/>
    <w:basedOn w:val="a1"/>
    <w:qFormat/>
  </w:style>
  <w:style w:type="paragraph" w:customStyle="1" w:styleId="CharCharCharCharCharCharChar1">
    <w:name w:val="Char Char Char Char Char Char Char1"/>
    <w:basedOn w:val="a1"/>
    <w:qFormat/>
  </w:style>
  <w:style w:type="paragraph" w:customStyle="1" w:styleId="Char1CharCharCharCharCharCharCharCharCharCharCharChar1CharCharCharCharCharCharCharCharChar1">
    <w:name w:val="Char1 Char Char Char Char Char Char Char Char Char Char Char Char1 Char Char Char Char Char Char Char Char Char1"/>
    <w:basedOn w:val="a1"/>
    <w:qFormat/>
  </w:style>
  <w:style w:type="paragraph" w:customStyle="1" w:styleId="18">
    <w:name w:val="列出段落1"/>
    <w:basedOn w:val="a1"/>
    <w:uiPriority w:val="34"/>
    <w:qFormat/>
    <w:pPr>
      <w:ind w:firstLineChars="200" w:firstLine="420"/>
    </w:pPr>
  </w:style>
  <w:style w:type="paragraph" w:customStyle="1" w:styleId="29">
    <w:name w:val="列出段落2"/>
    <w:basedOn w:val="a1"/>
    <w:qFormat/>
    <w:pPr>
      <w:ind w:firstLineChars="200" w:firstLine="420"/>
    </w:pPr>
    <w:rPr>
      <w:rFonts w:ascii="Calibri" w:hAnsi="Calibri"/>
      <w:szCs w:val="22"/>
    </w:rPr>
  </w:style>
  <w:style w:type="character" w:customStyle="1" w:styleId="CharChar6">
    <w:name w:val="Char Char6"/>
    <w:qFormat/>
    <w:rPr>
      <w:rFonts w:ascii="Times New Roman" w:eastAsia="宋体" w:hAnsi="Times New Roman" w:cs="Times New Roman"/>
      <w:szCs w:val="24"/>
    </w:rPr>
  </w:style>
  <w:style w:type="paragraph" w:customStyle="1" w:styleId="110">
    <w:name w:val="修订11"/>
    <w:hidden/>
    <w:uiPriority w:val="99"/>
    <w:qFormat/>
    <w:rPr>
      <w:kern w:val="2"/>
      <w:sz w:val="21"/>
      <w:szCs w:val="24"/>
    </w:rPr>
  </w:style>
  <w:style w:type="paragraph" w:customStyle="1" w:styleId="1Char">
    <w:name w:val="1 Char"/>
    <w:basedOn w:val="a1"/>
    <w:semiHidden/>
    <w:qFormat/>
    <w:pPr>
      <w:tabs>
        <w:tab w:val="left" w:pos="360"/>
      </w:tabs>
    </w:pPr>
    <w:rPr>
      <w:sz w:val="24"/>
    </w:rPr>
  </w:style>
  <w:style w:type="paragraph" w:customStyle="1" w:styleId="CharCharCharChar6">
    <w:name w:val="Char Char Char Char6"/>
    <w:basedOn w:val="a1"/>
    <w:qFormat/>
    <w:pPr>
      <w:tabs>
        <w:tab w:val="left" w:pos="360"/>
      </w:tabs>
    </w:pPr>
    <w:rPr>
      <w:sz w:val="24"/>
    </w:rPr>
  </w:style>
  <w:style w:type="paragraph" w:customStyle="1" w:styleId="CharCharCharChar11">
    <w:name w:val="Char Char Char Char11"/>
    <w:basedOn w:val="a1"/>
    <w:qFormat/>
    <w:rPr>
      <w:szCs w:val="20"/>
    </w:rPr>
  </w:style>
  <w:style w:type="paragraph" w:customStyle="1" w:styleId="211">
    <w:name w:val="样式 标题 2 + 段前: 1 行 段后: 1 行"/>
    <w:basedOn w:val="21"/>
    <w:qFormat/>
    <w:pPr>
      <w:numPr>
        <w:ilvl w:val="0"/>
        <w:numId w:val="25"/>
      </w:numPr>
      <w:spacing w:beforeLines="100" w:afterLines="100" w:line="240" w:lineRule="auto"/>
    </w:pPr>
    <w:rPr>
      <w:rFonts w:eastAsia="宋体"/>
      <w:b w:val="0"/>
      <w:bCs w:val="0"/>
      <w:sz w:val="28"/>
      <w:szCs w:val="20"/>
    </w:rPr>
  </w:style>
  <w:style w:type="paragraph" w:customStyle="1" w:styleId="2111111">
    <w:name w:val="样式 样式 样式 标题 2 + 段前: 1 行 段后: 1 行1 + 段前: 1 行 段后: 1 行 + 段前: 1 行 段后..."/>
    <w:basedOn w:val="a1"/>
    <w:qFormat/>
    <w:pPr>
      <w:keepNext/>
      <w:keepLines/>
      <w:numPr>
        <w:ilvl w:val="1"/>
        <w:numId w:val="26"/>
      </w:numPr>
      <w:spacing w:beforeLines="100" w:afterLines="100"/>
      <w:outlineLvl w:val="1"/>
    </w:pPr>
    <w:rPr>
      <w:rFonts w:ascii="Arial" w:hAnsi="Arial"/>
      <w:b/>
      <w:bCs/>
      <w:sz w:val="28"/>
      <w:szCs w:val="20"/>
    </w:rPr>
  </w:style>
  <w:style w:type="paragraph" w:customStyle="1" w:styleId="19">
    <w:name w:val="样式 标题 1 + 黑体 非加粗"/>
    <w:basedOn w:val="1"/>
    <w:qFormat/>
    <w:pPr>
      <w:keepLines w:val="0"/>
      <w:pageBreakBefore/>
      <w:numPr>
        <w:numId w:val="0"/>
      </w:numPr>
      <w:tabs>
        <w:tab w:val="left" w:pos="720"/>
      </w:tabs>
      <w:spacing w:beforeLines="100" w:afterLines="100" w:line="240" w:lineRule="auto"/>
      <w:ind w:left="720" w:firstLineChars="200" w:firstLine="200"/>
      <w:jc w:val="center"/>
    </w:pPr>
    <w:rPr>
      <w:rFonts w:ascii="黑体" w:eastAsia="黑体" w:hAnsi="黑体"/>
      <w:bCs w:val="0"/>
      <w:kern w:val="2"/>
      <w:sz w:val="32"/>
      <w:szCs w:val="32"/>
    </w:rPr>
  </w:style>
  <w:style w:type="paragraph" w:customStyle="1" w:styleId="111">
    <w:name w:val="样式 标题 1 + 段前: 1 行 段后: 1 行"/>
    <w:basedOn w:val="1"/>
    <w:qFormat/>
    <w:pPr>
      <w:keepLines w:val="0"/>
      <w:pageBreakBefore/>
      <w:numPr>
        <w:numId w:val="0"/>
      </w:numPr>
      <w:tabs>
        <w:tab w:val="left" w:pos="720"/>
      </w:tabs>
      <w:spacing w:beforeLines="100" w:afterLines="100" w:line="240" w:lineRule="auto"/>
      <w:ind w:left="720" w:firstLineChars="200" w:firstLine="200"/>
      <w:jc w:val="center"/>
    </w:pPr>
    <w:rPr>
      <w:rFonts w:ascii="黑体" w:eastAsia="黑体"/>
      <w:b w:val="0"/>
      <w:bCs w:val="0"/>
      <w:kern w:val="2"/>
      <w:sz w:val="32"/>
      <w:szCs w:val="20"/>
    </w:rPr>
  </w:style>
  <w:style w:type="paragraph" w:customStyle="1" w:styleId="2a">
    <w:name w:val="样式 首行缩进:  2 字符"/>
    <w:basedOn w:val="a1"/>
    <w:uiPriority w:val="99"/>
    <w:qFormat/>
    <w:pPr>
      <w:spacing w:before="100" w:beforeAutospacing="1" w:after="100" w:afterAutospacing="1" w:line="360" w:lineRule="auto"/>
      <w:ind w:firstLineChars="200" w:firstLine="480"/>
    </w:pPr>
    <w:rPr>
      <w:szCs w:val="20"/>
    </w:rPr>
  </w:style>
  <w:style w:type="character" w:customStyle="1" w:styleId="Char17">
    <w:name w:val="纯文本 Char1"/>
    <w:uiPriority w:val="99"/>
    <w:qFormat/>
    <w:rPr>
      <w:rFonts w:ascii="宋体" w:eastAsia="宋体" w:hAnsi="Courier New" w:cs="Times New Roman"/>
      <w:sz w:val="24"/>
      <w:szCs w:val="21"/>
    </w:rPr>
  </w:style>
  <w:style w:type="paragraph" w:customStyle="1" w:styleId="xl30">
    <w:name w:val="xl30"/>
    <w:basedOn w:val="a1"/>
    <w:uiPriority w:val="99"/>
    <w:qFormat/>
    <w:pPr>
      <w:widowControl/>
      <w:pBdr>
        <w:bottom w:val="single" w:sz="4" w:space="0" w:color="auto"/>
        <w:right w:val="single" w:sz="4" w:space="0" w:color="auto"/>
      </w:pBdr>
      <w:spacing w:before="100" w:beforeAutospacing="1" w:after="100" w:afterAutospacing="1"/>
      <w:jc w:val="right"/>
    </w:pPr>
    <w:rPr>
      <w:rFonts w:eastAsia="Arial Unicode MS"/>
      <w:kern w:val="0"/>
      <w:szCs w:val="21"/>
    </w:rPr>
  </w:style>
  <w:style w:type="character" w:customStyle="1" w:styleId="CharChar11">
    <w:name w:val="Char Char11"/>
    <w:qFormat/>
    <w:locked/>
    <w:rPr>
      <w:rFonts w:ascii="宋体" w:eastAsia="宋体" w:hAnsi="Courier New" w:cs="Courier New"/>
      <w:kern w:val="2"/>
      <w:sz w:val="21"/>
      <w:szCs w:val="21"/>
      <w:lang w:val="en-US" w:eastAsia="zh-CN" w:bidi="ar-SA"/>
    </w:rPr>
  </w:style>
  <w:style w:type="paragraph" w:customStyle="1" w:styleId="CharCharChar4">
    <w:name w:val="Char Char Char4"/>
    <w:basedOn w:val="a1"/>
    <w:qFormat/>
    <w:rPr>
      <w:szCs w:val="20"/>
    </w:rPr>
  </w:style>
  <w:style w:type="paragraph" w:customStyle="1" w:styleId="Char7">
    <w:name w:val="Char7"/>
    <w:basedOn w:val="a1"/>
    <w:qFormat/>
    <w:rPr>
      <w:szCs w:val="20"/>
    </w:rPr>
  </w:style>
  <w:style w:type="paragraph" w:customStyle="1" w:styleId="CharChar15">
    <w:name w:val="Char Char15"/>
    <w:basedOn w:val="a1"/>
    <w:qFormat/>
    <w:rPr>
      <w:szCs w:val="20"/>
    </w:rPr>
  </w:style>
  <w:style w:type="paragraph" w:customStyle="1" w:styleId="CharChar5">
    <w:name w:val="Char Char5"/>
    <w:basedOn w:val="a1"/>
    <w:qFormat/>
    <w:rPr>
      <w:szCs w:val="20"/>
    </w:rPr>
  </w:style>
  <w:style w:type="character" w:customStyle="1" w:styleId="e-arialb101">
    <w:name w:val="e-arialb101"/>
    <w:qFormat/>
    <w:rPr>
      <w:rFonts w:ascii="Arial" w:hAnsi="Arial" w:cs="Arial" w:hint="default"/>
      <w:color w:val="000000"/>
      <w:sz w:val="14"/>
      <w:szCs w:val="14"/>
    </w:rPr>
  </w:style>
  <w:style w:type="paragraph" w:customStyle="1" w:styleId="4CharCharCharChar">
    <w:name w:val="4 Char Char Char Char"/>
    <w:basedOn w:val="a1"/>
    <w:qFormat/>
    <w:rPr>
      <w:rFonts w:ascii="Tahoma" w:hAnsi="Tahoma"/>
      <w:sz w:val="24"/>
      <w:szCs w:val="20"/>
    </w:rPr>
  </w:style>
  <w:style w:type="paragraph" w:customStyle="1" w:styleId="NormalJustified">
    <w:name w:val="Normal (Justified)"/>
    <w:basedOn w:val="a1"/>
    <w:semiHidden/>
    <w:qFormat/>
    <w:pPr>
      <w:widowControl/>
      <w:snapToGrid w:val="0"/>
    </w:pPr>
    <w:rPr>
      <w:kern w:val="28"/>
      <w:sz w:val="24"/>
      <w:szCs w:val="20"/>
    </w:rPr>
  </w:style>
  <w:style w:type="paragraph" w:customStyle="1" w:styleId="CharCharChar1CharCharCharChar">
    <w:name w:val="Char Char Char1 Char Char Char Char"/>
    <w:basedOn w:val="a1"/>
    <w:qFormat/>
    <w:pPr>
      <w:tabs>
        <w:tab w:val="left" w:pos="360"/>
      </w:tabs>
    </w:pPr>
    <w:rPr>
      <w:sz w:val="24"/>
    </w:rPr>
  </w:style>
  <w:style w:type="paragraph" w:customStyle="1" w:styleId="CharCharCharCharCharCharChar2">
    <w:name w:val="Char Char Char Char Char Char Char2"/>
    <w:basedOn w:val="a1"/>
    <w:qFormat/>
    <w:pPr>
      <w:tabs>
        <w:tab w:val="left" w:pos="360"/>
      </w:tabs>
      <w:adjustRightInd w:val="0"/>
      <w:textAlignment w:val="baseline"/>
    </w:pPr>
    <w:rPr>
      <w:sz w:val="24"/>
      <w:szCs w:val="20"/>
    </w:rPr>
  </w:style>
  <w:style w:type="paragraph" w:customStyle="1" w:styleId="CharCharCharCharCharCharCharCharCharCharCharCharChar1CharCharCharChar">
    <w:name w:val="Char Char Char Char Char Char Char Char Char Char Char Char Char1 Char Char Char Char"/>
    <w:basedOn w:val="a1"/>
    <w:qFormat/>
    <w:rPr>
      <w:rFonts w:ascii="Tahoma" w:hAnsi="Tahoma"/>
      <w:sz w:val="24"/>
    </w:rPr>
  </w:style>
  <w:style w:type="character" w:customStyle="1" w:styleId="apple-style-span">
    <w:name w:val="apple-style-span"/>
    <w:qFormat/>
  </w:style>
  <w:style w:type="paragraph" w:customStyle="1" w:styleId="CharCharCharCharCharChar1CharCharChar3">
    <w:name w:val="Char Char Char Char Char Char1 Char Char Char3"/>
    <w:basedOn w:val="a1"/>
    <w:qFormat/>
    <w:pPr>
      <w:autoSpaceDE w:val="0"/>
      <w:autoSpaceDN w:val="0"/>
      <w:adjustRightInd w:val="0"/>
      <w:jc w:val="left"/>
      <w:textAlignment w:val="baseline"/>
    </w:pPr>
    <w:rPr>
      <w:szCs w:val="20"/>
    </w:rPr>
  </w:style>
  <w:style w:type="paragraph" w:customStyle="1" w:styleId="CM16">
    <w:name w:val="CM16"/>
    <w:basedOn w:val="Default"/>
    <w:next w:val="Default"/>
    <w:qFormat/>
    <w:pPr>
      <w:spacing w:line="471" w:lineRule="atLeast"/>
    </w:pPr>
    <w:rPr>
      <w:rFonts w:ascii="黑体" w:eastAsia="黑体"/>
      <w:color w:val="auto"/>
    </w:rPr>
  </w:style>
  <w:style w:type="character" w:customStyle="1" w:styleId="DeltaViewInsertion">
    <w:name w:val="DeltaView Insertion"/>
    <w:qFormat/>
    <w:rPr>
      <w:color w:val="0000FF"/>
      <w:spacing w:val="0"/>
      <w:u w:val="double"/>
    </w:rPr>
  </w:style>
  <w:style w:type="character" w:customStyle="1" w:styleId="1a">
    <w:name w:val="批注引用1"/>
    <w:qFormat/>
    <w:rPr>
      <w:sz w:val="21"/>
      <w:szCs w:val="21"/>
    </w:rPr>
  </w:style>
  <w:style w:type="character" w:customStyle="1" w:styleId="HTML10">
    <w:name w:val="HTML 打字机1"/>
    <w:qFormat/>
    <w:rPr>
      <w:rFonts w:ascii="Arial Unicode MS" w:eastAsia="Arial Unicode MS" w:hAnsi="Arial Unicode MS" w:cs="Arial Unicode MS"/>
      <w:sz w:val="20"/>
      <w:szCs w:val="20"/>
    </w:rPr>
  </w:style>
  <w:style w:type="character" w:customStyle="1" w:styleId="1b">
    <w:name w:val="页码1"/>
    <w:basedOn w:val="a2"/>
    <w:qFormat/>
  </w:style>
  <w:style w:type="paragraph" w:customStyle="1" w:styleId="1c">
    <w:name w:val="批注主题1"/>
    <w:basedOn w:val="af1"/>
    <w:next w:val="af1"/>
    <w:qFormat/>
    <w:rPr>
      <w:b/>
      <w:bCs/>
      <w:szCs w:val="24"/>
    </w:rPr>
  </w:style>
  <w:style w:type="paragraph" w:customStyle="1" w:styleId="210">
    <w:name w:val="正文文本 21"/>
    <w:basedOn w:val="a1"/>
    <w:qFormat/>
    <w:rPr>
      <w:sz w:val="28"/>
      <w:szCs w:val="20"/>
    </w:rPr>
  </w:style>
  <w:style w:type="paragraph" w:customStyle="1" w:styleId="112">
    <w:name w:val="索引 11"/>
    <w:basedOn w:val="a1"/>
    <w:next w:val="a1"/>
    <w:qFormat/>
    <w:pPr>
      <w:spacing w:line="360" w:lineRule="auto"/>
      <w:ind w:firstLineChars="200" w:firstLine="422"/>
      <w:outlineLvl w:val="0"/>
    </w:pPr>
    <w:rPr>
      <w:rFonts w:ascii="宋体" w:hAnsi="宋体"/>
      <w:b/>
      <w:bCs/>
      <w:color w:val="000000"/>
      <w:kern w:val="0"/>
    </w:rPr>
  </w:style>
  <w:style w:type="paragraph" w:customStyle="1" w:styleId="1d">
    <w:name w:val="正文首行缩进1"/>
    <w:basedOn w:val="a9"/>
    <w:qFormat/>
    <w:pPr>
      <w:spacing w:after="120" w:line="240" w:lineRule="auto"/>
      <w:ind w:firstLineChars="100" w:firstLine="420"/>
    </w:pPr>
  </w:style>
  <w:style w:type="paragraph" w:customStyle="1" w:styleId="HTML11">
    <w:name w:val="HTML 预设格式1"/>
    <w:basedOn w:val="a1"/>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paragraph" w:customStyle="1" w:styleId="CharCharCharCharCharCharCharCharCharCharCharCharChar">
    <w:name w:val="Char Char Char Char Char Char Char Char Char Char Char Char Char"/>
    <w:basedOn w:val="a1"/>
    <w:qFormat/>
    <w:rPr>
      <w:szCs w:val="20"/>
    </w:rPr>
  </w:style>
  <w:style w:type="paragraph" w:customStyle="1" w:styleId="1e">
    <w:name w:val="纯文本1"/>
    <w:basedOn w:val="a1"/>
    <w:qFormat/>
    <w:rPr>
      <w:rFonts w:ascii="宋体" w:hAnsi="Courier New"/>
      <w:szCs w:val="20"/>
    </w:rPr>
  </w:style>
  <w:style w:type="paragraph" w:customStyle="1" w:styleId="2b">
    <w:name w:val="修订2"/>
    <w:qFormat/>
    <w:rPr>
      <w:szCs w:val="24"/>
    </w:rPr>
  </w:style>
  <w:style w:type="paragraph" w:customStyle="1" w:styleId="1f">
    <w:name w:val="引文目录1"/>
    <w:basedOn w:val="AONormal"/>
    <w:qFormat/>
    <w:pPr>
      <w:tabs>
        <w:tab w:val="right" w:leader="dot" w:pos="9490"/>
      </w:tabs>
      <w:spacing w:before="240" w:line="240" w:lineRule="auto"/>
      <w:ind w:left="720" w:hanging="720"/>
    </w:pPr>
    <w:rPr>
      <w:szCs w:val="20"/>
      <w:lang w:val="en-US"/>
    </w:rPr>
  </w:style>
  <w:style w:type="paragraph" w:customStyle="1" w:styleId="TOC11">
    <w:name w:val="TOC 标题11"/>
    <w:basedOn w:val="1"/>
    <w:next w:val="a1"/>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f0">
    <w:name w:val="文档结构图1"/>
    <w:basedOn w:val="a1"/>
    <w:qFormat/>
    <w:pPr>
      <w:shd w:val="clear" w:color="auto" w:fill="000080"/>
    </w:pPr>
    <w:rPr>
      <w:shd w:val="clear" w:color="auto" w:fill="000080"/>
    </w:rPr>
  </w:style>
  <w:style w:type="paragraph" w:customStyle="1" w:styleId="1f1">
    <w:name w:val="日期1"/>
    <w:basedOn w:val="a1"/>
    <w:next w:val="a1"/>
    <w:qFormat/>
    <w:pPr>
      <w:ind w:leftChars="2500" w:left="2500"/>
    </w:pPr>
    <w:rPr>
      <w:rFonts w:ascii="宋体" w:eastAsia="仿宋_GB2312" w:hAnsi="宋体"/>
      <w:sz w:val="28"/>
    </w:rPr>
  </w:style>
  <w:style w:type="paragraph" w:customStyle="1" w:styleId="310">
    <w:name w:val="正文文本 31"/>
    <w:basedOn w:val="a1"/>
    <w:qFormat/>
    <w:pPr>
      <w:autoSpaceDE w:val="0"/>
      <w:autoSpaceDN w:val="0"/>
      <w:adjustRightInd w:val="0"/>
      <w:spacing w:after="120" w:line="360" w:lineRule="auto"/>
    </w:pPr>
    <w:rPr>
      <w:kern w:val="0"/>
      <w:sz w:val="24"/>
      <w:szCs w:val="20"/>
      <w:u w:val="single"/>
    </w:rPr>
  </w:style>
  <w:style w:type="paragraph" w:customStyle="1" w:styleId="1f2">
    <w:name w:val="正文文本缩进1"/>
    <w:basedOn w:val="a1"/>
    <w:qFormat/>
    <w:pPr>
      <w:autoSpaceDE w:val="0"/>
      <w:autoSpaceDN w:val="0"/>
      <w:adjustRightInd w:val="0"/>
      <w:spacing w:after="120" w:line="440" w:lineRule="atLeast"/>
      <w:ind w:firstLine="539"/>
    </w:pPr>
    <w:rPr>
      <w:rFonts w:ascii="宋体"/>
      <w:kern w:val="0"/>
      <w:sz w:val="24"/>
      <w:szCs w:val="20"/>
    </w:rPr>
  </w:style>
  <w:style w:type="paragraph" w:customStyle="1" w:styleId="1f3">
    <w:name w:val="收信人地址1"/>
    <w:basedOn w:val="a1"/>
    <w:qFormat/>
    <w:pPr>
      <w:ind w:left="2880"/>
    </w:pPr>
    <w:rPr>
      <w:rFonts w:cs="Arial"/>
      <w:szCs w:val="22"/>
    </w:rPr>
  </w:style>
  <w:style w:type="paragraph" w:customStyle="1" w:styleId="1f4">
    <w:name w:val="寄信人地址1"/>
    <w:basedOn w:val="a1"/>
    <w:qFormat/>
    <w:rPr>
      <w:rFonts w:cs="Arial"/>
      <w:sz w:val="20"/>
    </w:rPr>
  </w:style>
  <w:style w:type="paragraph" w:customStyle="1" w:styleId="37">
    <w:name w:val="列出段落3"/>
    <w:basedOn w:val="a1"/>
    <w:qFormat/>
    <w:pPr>
      <w:ind w:firstLineChars="200" w:firstLine="420"/>
    </w:pPr>
  </w:style>
  <w:style w:type="paragraph" w:customStyle="1" w:styleId="311">
    <w:name w:val="正文文本缩进 31"/>
    <w:basedOn w:val="a1"/>
    <w:qFormat/>
    <w:pPr>
      <w:spacing w:line="400" w:lineRule="atLeast"/>
      <w:ind w:firstLine="600"/>
    </w:pPr>
    <w:rPr>
      <w:rFonts w:ascii="宋体"/>
      <w:sz w:val="28"/>
      <w:szCs w:val="20"/>
    </w:rPr>
  </w:style>
  <w:style w:type="paragraph" w:customStyle="1" w:styleId="1f5">
    <w:name w:val="普通(网站)1"/>
    <w:basedOn w:val="a1"/>
    <w:qFormat/>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customStyle="1" w:styleId="212">
    <w:name w:val="正文文本缩进 21"/>
    <w:basedOn w:val="a1"/>
    <w:qFormat/>
    <w:pPr>
      <w:spacing w:line="360" w:lineRule="auto"/>
      <w:ind w:firstLineChars="200" w:firstLine="560"/>
    </w:pPr>
    <w:rPr>
      <w:rFonts w:eastAsia="仿宋_GB2312"/>
      <w:sz w:val="28"/>
    </w:rPr>
  </w:style>
  <w:style w:type="paragraph" w:customStyle="1" w:styleId="1f6">
    <w:name w:val="引文目录标题1"/>
    <w:basedOn w:val="AONormal"/>
    <w:next w:val="1f"/>
    <w:qFormat/>
    <w:pPr>
      <w:tabs>
        <w:tab w:val="right" w:pos="9490"/>
      </w:tabs>
      <w:spacing w:before="240" w:after="120" w:line="240" w:lineRule="auto"/>
    </w:pPr>
    <w:rPr>
      <w:b/>
      <w:szCs w:val="20"/>
      <w:lang w:val="en-US"/>
    </w:rPr>
  </w:style>
  <w:style w:type="paragraph" w:customStyle="1" w:styleId="1f7">
    <w:name w:val="电子邮件签名1"/>
    <w:basedOn w:val="a1"/>
    <w:qFormat/>
    <w:pPr>
      <w:widowControl/>
    </w:pPr>
    <w:rPr>
      <w:kern w:val="0"/>
      <w:szCs w:val="21"/>
    </w:rPr>
  </w:style>
  <w:style w:type="paragraph" w:customStyle="1" w:styleId="CharCharCharCharCharCharCharCharChar">
    <w:name w:val="Char Char Char Char Char Char Char Char Char"/>
    <w:basedOn w:val="a1"/>
    <w:qFormat/>
    <w:pPr>
      <w:tabs>
        <w:tab w:val="left" w:pos="360"/>
      </w:tabs>
    </w:pPr>
    <w:rPr>
      <w:sz w:val="24"/>
    </w:rPr>
  </w:style>
  <w:style w:type="paragraph" w:customStyle="1" w:styleId="Style3">
    <w:name w:val="_Style 3"/>
    <w:basedOn w:val="a1"/>
    <w:qFormat/>
    <w:rPr>
      <w:szCs w:val="20"/>
    </w:rPr>
  </w:style>
  <w:style w:type="paragraph" w:customStyle="1" w:styleId="CharCharChar12">
    <w:name w:val="Char Char Char12"/>
    <w:basedOn w:val="a1"/>
    <w:qFormat/>
    <w:rPr>
      <w:szCs w:val="20"/>
    </w:rPr>
  </w:style>
  <w:style w:type="character" w:customStyle="1" w:styleId="u2">
    <w:name w:val="u2"/>
    <w:basedOn w:val="a2"/>
    <w:qFormat/>
  </w:style>
  <w:style w:type="character" w:customStyle="1" w:styleId="apple-converted-space">
    <w:name w:val="apple-converted-space"/>
    <w:basedOn w:val="a2"/>
    <w:qFormat/>
  </w:style>
  <w:style w:type="paragraph" w:customStyle="1" w:styleId="XBRLTitle1">
    <w:name w:val="XBRLTitle1"/>
    <w:basedOn w:val="1"/>
    <w:next w:val="21"/>
    <w:qFormat/>
    <w:pPr>
      <w:numPr>
        <w:numId w:val="27"/>
      </w:numPr>
      <w:spacing w:beforeLines="50" w:afterLines="50" w:line="240" w:lineRule="auto"/>
      <w:jc w:val="center"/>
    </w:pPr>
    <w:rPr>
      <w:rFonts w:ascii="Cambria" w:hAnsi="Cambria"/>
      <w:sz w:val="28"/>
    </w:rPr>
  </w:style>
  <w:style w:type="paragraph" w:customStyle="1" w:styleId="XBRLTitle2">
    <w:name w:val="XBRLTitle2"/>
    <w:basedOn w:val="aff2"/>
    <w:next w:val="4"/>
    <w:qFormat/>
    <w:pPr>
      <w:numPr>
        <w:numId w:val="27"/>
      </w:numPr>
      <w:spacing w:beforeLines="50" w:afterLines="50" w:line="240" w:lineRule="auto"/>
      <w:jc w:val="left"/>
    </w:pPr>
    <w:rPr>
      <w:sz w:val="24"/>
    </w:rPr>
  </w:style>
  <w:style w:type="paragraph" w:customStyle="1" w:styleId="XBRLTitle3">
    <w:name w:val="XBRLTitle3"/>
    <w:basedOn w:val="aff2"/>
    <w:next w:val="4"/>
    <w:qFormat/>
    <w:pPr>
      <w:numPr>
        <w:ilvl w:val="2"/>
        <w:numId w:val="27"/>
      </w:numPr>
      <w:spacing w:beforeLines="50" w:afterLines="50" w:line="240" w:lineRule="auto"/>
      <w:jc w:val="left"/>
      <w:outlineLvl w:val="9"/>
    </w:pPr>
    <w:rPr>
      <w:sz w:val="24"/>
    </w:rPr>
  </w:style>
  <w:style w:type="paragraph" w:customStyle="1" w:styleId="XBRLTitle4">
    <w:name w:val="XBRLTitle4"/>
    <w:basedOn w:val="aff2"/>
    <w:next w:val="4"/>
    <w:qFormat/>
    <w:pPr>
      <w:numPr>
        <w:ilvl w:val="3"/>
        <w:numId w:val="27"/>
      </w:numPr>
      <w:spacing w:beforeLines="50" w:afterLines="50" w:line="240" w:lineRule="auto"/>
      <w:jc w:val="left"/>
      <w:outlineLvl w:val="9"/>
    </w:pPr>
    <w:rPr>
      <w:sz w:val="24"/>
    </w:rPr>
  </w:style>
  <w:style w:type="paragraph" w:customStyle="1" w:styleId="XBRLTitle5">
    <w:name w:val="XBRLTitle5"/>
    <w:basedOn w:val="aff2"/>
    <w:next w:val="4"/>
    <w:qFormat/>
    <w:pPr>
      <w:numPr>
        <w:ilvl w:val="4"/>
        <w:numId w:val="27"/>
      </w:numPr>
      <w:spacing w:beforeLines="50" w:afterLines="50" w:line="240" w:lineRule="auto"/>
      <w:jc w:val="left"/>
      <w:outlineLvl w:val="9"/>
    </w:pPr>
    <w:rPr>
      <w:sz w:val="24"/>
    </w:rPr>
  </w:style>
  <w:style w:type="paragraph" w:customStyle="1" w:styleId="XBRLTitle6">
    <w:name w:val="XBRLTitle6"/>
    <w:basedOn w:val="aff2"/>
    <w:next w:val="4"/>
    <w:qFormat/>
    <w:pPr>
      <w:numPr>
        <w:ilvl w:val="5"/>
        <w:numId w:val="27"/>
      </w:numPr>
      <w:spacing w:beforeLines="50" w:afterLines="50" w:line="240" w:lineRule="auto"/>
      <w:jc w:val="left"/>
      <w:outlineLvl w:val="9"/>
    </w:pPr>
    <w:rPr>
      <w:sz w:val="24"/>
    </w:rPr>
  </w:style>
  <w:style w:type="character" w:customStyle="1" w:styleId="aff3">
    <w:name w:val="副标题 字符"/>
    <w:link w:val="aff2"/>
    <w:qFormat/>
    <w:rPr>
      <w:rFonts w:ascii="Cambria" w:eastAsia="宋体" w:hAnsi="Cambria" w:cs="Times New Roman"/>
      <w:b/>
      <w:bCs/>
      <w:kern w:val="28"/>
      <w:sz w:val="32"/>
      <w:szCs w:val="32"/>
    </w:rPr>
  </w:style>
  <w:style w:type="paragraph" w:customStyle="1" w:styleId="xl33">
    <w:name w:val="xl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0"/>
    </w:rPr>
  </w:style>
  <w:style w:type="character" w:customStyle="1" w:styleId="r1">
    <w:name w:val="r1"/>
    <w:basedOn w:val="a2"/>
    <w:qFormat/>
  </w:style>
  <w:style w:type="character" w:customStyle="1" w:styleId="c1">
    <w:name w:val="c1"/>
    <w:basedOn w:val="a2"/>
    <w:qFormat/>
  </w:style>
  <w:style w:type="character" w:customStyle="1" w:styleId="u1">
    <w:name w:val="u1"/>
    <w:basedOn w:val="a2"/>
    <w:qFormat/>
  </w:style>
  <w:style w:type="character" w:customStyle="1" w:styleId="1f8">
    <w:name w:val="不明显参考1"/>
    <w:qFormat/>
    <w:rPr>
      <w:smallCaps/>
      <w:color w:val="C0504D"/>
      <w:u w:val="single"/>
    </w:rPr>
  </w:style>
  <w:style w:type="paragraph" w:styleId="afffc">
    <w:name w:val="No Spacing"/>
    <w:uiPriority w:val="1"/>
    <w:qFormat/>
    <w:pPr>
      <w:widowControl w:val="0"/>
      <w:jc w:val="both"/>
    </w:pPr>
    <w:rPr>
      <w:kern w:val="2"/>
      <w:sz w:val="21"/>
    </w:rPr>
  </w:style>
  <w:style w:type="paragraph" w:customStyle="1" w:styleId="CharCharCharChar4">
    <w:name w:val="Char Char Char Char4"/>
    <w:basedOn w:val="a1"/>
    <w:qFormat/>
    <w:pPr>
      <w:tabs>
        <w:tab w:val="left" w:pos="360"/>
      </w:tabs>
      <w:spacing w:before="312" w:after="312" w:line="360" w:lineRule="auto"/>
    </w:pPr>
    <w:rPr>
      <w:sz w:val="24"/>
    </w:rPr>
  </w:style>
  <w:style w:type="paragraph" w:customStyle="1" w:styleId="CharCharCharCharCharChar1CharCharChar2">
    <w:name w:val="Char Char Char Char Char Char1 Char Char Char2"/>
    <w:basedOn w:val="a1"/>
    <w:qFormat/>
    <w:pPr>
      <w:autoSpaceDE w:val="0"/>
      <w:autoSpaceDN w:val="0"/>
      <w:adjustRightInd w:val="0"/>
      <w:jc w:val="left"/>
      <w:textAlignment w:val="baseline"/>
    </w:pPr>
    <w:rPr>
      <w:rFonts w:ascii="宋体"/>
      <w:kern w:val="0"/>
      <w:sz w:val="34"/>
      <w:szCs w:val="20"/>
    </w:rPr>
  </w:style>
  <w:style w:type="paragraph" w:customStyle="1" w:styleId="CharChar13">
    <w:name w:val="Char Char13"/>
    <w:basedOn w:val="a1"/>
    <w:qFormat/>
    <w:rPr>
      <w:szCs w:val="20"/>
    </w:rPr>
  </w:style>
  <w:style w:type="paragraph" w:customStyle="1" w:styleId="Char5">
    <w:name w:val="Char5"/>
    <w:basedOn w:val="a1"/>
    <w:qFormat/>
  </w:style>
  <w:style w:type="paragraph" w:customStyle="1" w:styleId="CharChar3">
    <w:name w:val="Char Char3"/>
    <w:basedOn w:val="a1"/>
    <w:qFormat/>
    <w:rPr>
      <w:szCs w:val="20"/>
    </w:rPr>
  </w:style>
  <w:style w:type="paragraph" w:customStyle="1" w:styleId="Char4">
    <w:name w:val="Char4"/>
    <w:basedOn w:val="a1"/>
    <w:qFormat/>
    <w:rPr>
      <w:szCs w:val="20"/>
    </w:rPr>
  </w:style>
  <w:style w:type="paragraph" w:customStyle="1" w:styleId="CharCharCharChar3">
    <w:name w:val="Char Char Char Char3"/>
    <w:basedOn w:val="a1"/>
    <w:qFormat/>
    <w:pPr>
      <w:tabs>
        <w:tab w:val="left" w:pos="360"/>
      </w:tabs>
    </w:pPr>
    <w:rPr>
      <w:szCs w:val="20"/>
    </w:rPr>
  </w:style>
  <w:style w:type="paragraph" w:customStyle="1" w:styleId="CharChar12">
    <w:name w:val="Char Char12"/>
    <w:basedOn w:val="a1"/>
    <w:qFormat/>
    <w:rPr>
      <w:szCs w:val="20"/>
    </w:rPr>
  </w:style>
  <w:style w:type="paragraph" w:customStyle="1" w:styleId="afffd">
    <w:name w:val="次标题"/>
    <w:basedOn w:val="3"/>
    <w:next w:val="a1"/>
    <w:qFormat/>
    <w:pPr>
      <w:numPr>
        <w:ilvl w:val="0"/>
        <w:numId w:val="0"/>
      </w:numPr>
      <w:spacing w:line="416" w:lineRule="auto"/>
      <w:jc w:val="left"/>
    </w:pPr>
    <w:rPr>
      <w:rFonts w:ascii="宋体" w:hAnsi="宋体"/>
      <w:sz w:val="24"/>
      <w:szCs w:val="24"/>
    </w:rPr>
  </w:style>
  <w:style w:type="paragraph" w:customStyle="1" w:styleId="CharChar2">
    <w:name w:val="Char Char2"/>
    <w:basedOn w:val="a1"/>
    <w:qFormat/>
    <w:rPr>
      <w:szCs w:val="20"/>
    </w:rPr>
  </w:style>
  <w:style w:type="paragraph" w:customStyle="1" w:styleId="Char3">
    <w:name w:val="Char3"/>
    <w:basedOn w:val="a1"/>
    <w:qFormat/>
    <w:rPr>
      <w:szCs w:val="20"/>
    </w:rPr>
  </w:style>
  <w:style w:type="paragraph" w:customStyle="1" w:styleId="CharCharCharChar2">
    <w:name w:val="Char Char Char Char2"/>
    <w:basedOn w:val="a1"/>
    <w:qFormat/>
    <w:pPr>
      <w:tabs>
        <w:tab w:val="left" w:pos="360"/>
      </w:tabs>
    </w:pPr>
    <w:rPr>
      <w:szCs w:val="20"/>
    </w:rPr>
  </w:style>
  <w:style w:type="paragraph" w:customStyle="1" w:styleId="Char6">
    <w:name w:val="Char6"/>
    <w:basedOn w:val="a1"/>
    <w:qFormat/>
    <w:rPr>
      <w:szCs w:val="20"/>
    </w:rPr>
  </w:style>
  <w:style w:type="paragraph" w:customStyle="1" w:styleId="CharCharCharChar5">
    <w:name w:val="Char Char Char Char5"/>
    <w:basedOn w:val="a1"/>
    <w:qFormat/>
    <w:pPr>
      <w:tabs>
        <w:tab w:val="left" w:pos="360"/>
      </w:tabs>
    </w:pPr>
    <w:rPr>
      <w:szCs w:val="20"/>
    </w:rPr>
  </w:style>
  <w:style w:type="paragraph" w:customStyle="1" w:styleId="CharChar4">
    <w:name w:val="Char Char4"/>
    <w:basedOn w:val="a1"/>
    <w:qFormat/>
    <w:rPr>
      <w:szCs w:val="20"/>
    </w:rPr>
  </w:style>
  <w:style w:type="paragraph" w:customStyle="1" w:styleId="CharChar14">
    <w:name w:val="Char Char14"/>
    <w:basedOn w:val="a1"/>
    <w:qFormat/>
    <w:rPr>
      <w:szCs w:val="20"/>
    </w:rPr>
  </w:style>
  <w:style w:type="paragraph" w:customStyle="1" w:styleId="CharCharChar3">
    <w:name w:val="Char Char Char3"/>
    <w:basedOn w:val="a1"/>
    <w:qFormat/>
    <w:rPr>
      <w:szCs w:val="20"/>
    </w:rPr>
  </w:style>
  <w:style w:type="paragraph" w:customStyle="1" w:styleId="z-1">
    <w:name w:val="z-窗体顶端1"/>
    <w:basedOn w:val="a1"/>
    <w:next w:val="a1"/>
    <w:link w:val="z-"/>
    <w:uiPriority w:val="99"/>
    <w:qFormat/>
    <w:pPr>
      <w:widowControl/>
      <w:pBdr>
        <w:bottom w:val="single" w:sz="6" w:space="1" w:color="auto"/>
      </w:pBdr>
      <w:jc w:val="center"/>
    </w:pPr>
    <w:rPr>
      <w:rFonts w:ascii="Arial" w:hAnsi="Arial"/>
      <w:vanish/>
      <w:kern w:val="0"/>
      <w:sz w:val="16"/>
      <w:szCs w:val="16"/>
    </w:rPr>
  </w:style>
  <w:style w:type="character" w:customStyle="1" w:styleId="z-">
    <w:name w:val="z-窗体顶端 字符"/>
    <w:link w:val="z-1"/>
    <w:uiPriority w:val="99"/>
    <w:qFormat/>
    <w:rPr>
      <w:rFonts w:ascii="Arial" w:eastAsia="宋体" w:hAnsi="Arial" w:cs="Times New Roman"/>
      <w:vanish/>
      <w:kern w:val="0"/>
      <w:sz w:val="16"/>
      <w:szCs w:val="16"/>
    </w:rPr>
  </w:style>
  <w:style w:type="paragraph" w:customStyle="1" w:styleId="z-10">
    <w:name w:val="z-窗体底端1"/>
    <w:basedOn w:val="a1"/>
    <w:next w:val="a1"/>
    <w:link w:val="z-0"/>
    <w:uiPriority w:val="99"/>
    <w:qFormat/>
    <w:pPr>
      <w:widowControl/>
      <w:pBdr>
        <w:top w:val="single" w:sz="6" w:space="1" w:color="auto"/>
      </w:pBdr>
      <w:jc w:val="center"/>
    </w:pPr>
    <w:rPr>
      <w:rFonts w:ascii="Arial" w:hAnsi="Arial"/>
      <w:vanish/>
      <w:kern w:val="0"/>
      <w:sz w:val="16"/>
      <w:szCs w:val="16"/>
    </w:rPr>
  </w:style>
  <w:style w:type="character" w:customStyle="1" w:styleId="z-0">
    <w:name w:val="z-窗体底端 字符"/>
    <w:link w:val="z-10"/>
    <w:uiPriority w:val="99"/>
    <w:qFormat/>
    <w:rPr>
      <w:rFonts w:ascii="Arial" w:eastAsia="宋体" w:hAnsi="Arial" w:cs="Times New Roman"/>
      <w:vanish/>
      <w:kern w:val="0"/>
      <w:sz w:val="16"/>
      <w:szCs w:val="16"/>
    </w:rPr>
  </w:style>
  <w:style w:type="paragraph" w:customStyle="1" w:styleId="1f9">
    <w:name w:val="字元 字元1"/>
    <w:basedOn w:val="a1"/>
    <w:qFormat/>
    <w:rPr>
      <w:rFonts w:ascii="Tahoma" w:hAnsi="Tahoma" w:cs="Tahoma"/>
      <w:sz w:val="24"/>
    </w:rPr>
  </w:style>
  <w:style w:type="character" w:customStyle="1" w:styleId="1fa">
    <w:name w:val="不明显强调1"/>
    <w:uiPriority w:val="19"/>
    <w:qFormat/>
    <w:rPr>
      <w:i/>
      <w:iCs/>
      <w:color w:val="808080"/>
    </w:rPr>
  </w:style>
  <w:style w:type="character" w:customStyle="1" w:styleId="1fb">
    <w:name w:val="明显强调1"/>
    <w:uiPriority w:val="21"/>
    <w:qFormat/>
    <w:rPr>
      <w:b/>
      <w:bCs/>
      <w:i/>
      <w:iCs/>
      <w:color w:val="4F81BD"/>
    </w:rPr>
  </w:style>
  <w:style w:type="paragraph" w:customStyle="1" w:styleId="afffe">
    <w:name w:val="样式 宋体 居中"/>
    <w:basedOn w:val="a1"/>
    <w:qFormat/>
    <w:pPr>
      <w:jc w:val="center"/>
    </w:pPr>
    <w:rPr>
      <w:rFonts w:cs="宋体"/>
      <w:szCs w:val="20"/>
    </w:rPr>
  </w:style>
  <w:style w:type="character" w:customStyle="1" w:styleId="affff">
    <w:name w:val="样式 宋体"/>
    <w:qFormat/>
    <w:rPr>
      <w:rFonts w:ascii="Times New Roman" w:eastAsia="宋体" w:hAnsi="Times New Roman"/>
    </w:rPr>
  </w:style>
  <w:style w:type="paragraph" w:customStyle="1" w:styleId="38">
    <w:name w:val="修订3"/>
    <w:hidden/>
    <w:uiPriority w:val="99"/>
    <w:semiHidden/>
    <w:qFormat/>
    <w:rPr>
      <w:kern w:val="2"/>
      <w:sz w:val="21"/>
      <w:szCs w:val="24"/>
    </w:rPr>
  </w:style>
  <w:style w:type="character" w:customStyle="1" w:styleId="1fc">
    <w:name w:val="未处理的提及1"/>
    <w:basedOn w:val="a2"/>
    <w:uiPriority w:val="99"/>
    <w:semiHidden/>
    <w:unhideWhenUsed/>
    <w:qFormat/>
    <w:rPr>
      <w:color w:val="605E5C"/>
      <w:shd w:val="clear" w:color="auto" w:fill="E1DFDD"/>
    </w:rPr>
  </w:style>
  <w:style w:type="paragraph" w:styleId="affff0">
    <w:name w:val="Revision"/>
    <w:hidden/>
    <w:uiPriority w:val="99"/>
    <w:semiHidden/>
    <w:rsid w:val="00F7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5502747">
      <w:bodyDiv w:val="1"/>
      <w:marLeft w:val="0"/>
      <w:marRight w:val="0"/>
      <w:marTop w:val="0"/>
      <w:marBottom w:val="0"/>
      <w:divBdr>
        <w:top w:val="none" w:sz="0" w:space="0" w:color="auto"/>
        <w:left w:val="none" w:sz="0" w:space="0" w:color="auto"/>
        <w:bottom w:val="none" w:sz="0" w:space="0" w:color="auto"/>
        <w:right w:val="none" w:sz="0" w:space="0" w:color="auto"/>
      </w:divBdr>
      <w:divsChild>
        <w:div w:id="467868764">
          <w:marLeft w:val="0"/>
          <w:marRight w:val="0"/>
          <w:marTop w:val="0"/>
          <w:marBottom w:val="0"/>
          <w:divBdr>
            <w:top w:val="none" w:sz="0" w:space="0" w:color="auto"/>
            <w:left w:val="none" w:sz="0" w:space="0" w:color="auto"/>
            <w:bottom w:val="none" w:sz="0" w:space="0" w:color="auto"/>
            <w:right w:val="none" w:sz="0" w:space="0" w:color="auto"/>
          </w:divBdr>
        </w:div>
        <w:div w:id="1934899095">
          <w:marLeft w:val="0"/>
          <w:marRight w:val="0"/>
          <w:marTop w:val="0"/>
          <w:marBottom w:val="0"/>
          <w:divBdr>
            <w:top w:val="none" w:sz="0" w:space="0" w:color="auto"/>
            <w:left w:val="none" w:sz="0" w:space="0" w:color="auto"/>
            <w:bottom w:val="none" w:sz="0" w:space="0" w:color="auto"/>
            <w:right w:val="none" w:sz="0" w:space="0" w:color="auto"/>
          </w:divBdr>
        </w:div>
        <w:div w:id="955526260">
          <w:marLeft w:val="0"/>
          <w:marRight w:val="0"/>
          <w:marTop w:val="0"/>
          <w:marBottom w:val="0"/>
          <w:divBdr>
            <w:top w:val="none" w:sz="0" w:space="0" w:color="auto"/>
            <w:left w:val="none" w:sz="0" w:space="0" w:color="auto"/>
            <w:bottom w:val="none" w:sz="0" w:space="0" w:color="auto"/>
            <w:right w:val="none" w:sz="0" w:space="0" w:color="auto"/>
          </w:divBdr>
        </w:div>
        <w:div w:id="1780565225">
          <w:marLeft w:val="0"/>
          <w:marRight w:val="0"/>
          <w:marTop w:val="0"/>
          <w:marBottom w:val="0"/>
          <w:divBdr>
            <w:top w:val="none" w:sz="0" w:space="0" w:color="auto"/>
            <w:left w:val="none" w:sz="0" w:space="0" w:color="auto"/>
            <w:bottom w:val="none" w:sz="0" w:space="0" w:color="auto"/>
            <w:right w:val="none" w:sz="0" w:space="0" w:color="auto"/>
          </w:divBdr>
        </w:div>
        <w:div w:id="727994487">
          <w:marLeft w:val="0"/>
          <w:marRight w:val="0"/>
          <w:marTop w:val="0"/>
          <w:marBottom w:val="0"/>
          <w:divBdr>
            <w:top w:val="none" w:sz="0" w:space="0" w:color="auto"/>
            <w:left w:val="none" w:sz="0" w:space="0" w:color="auto"/>
            <w:bottom w:val="none" w:sz="0" w:space="0" w:color="auto"/>
            <w:right w:val="none" w:sz="0" w:space="0" w:color="auto"/>
          </w:divBdr>
        </w:div>
        <w:div w:id="2013215061">
          <w:marLeft w:val="0"/>
          <w:marRight w:val="0"/>
          <w:marTop w:val="0"/>
          <w:marBottom w:val="0"/>
          <w:divBdr>
            <w:top w:val="none" w:sz="0" w:space="0" w:color="auto"/>
            <w:left w:val="none" w:sz="0" w:space="0" w:color="auto"/>
            <w:bottom w:val="none" w:sz="0" w:space="0" w:color="auto"/>
            <w:right w:val="none" w:sz="0" w:space="0" w:color="auto"/>
          </w:divBdr>
        </w:div>
        <w:div w:id="178545035">
          <w:marLeft w:val="0"/>
          <w:marRight w:val="0"/>
          <w:marTop w:val="0"/>
          <w:marBottom w:val="0"/>
          <w:divBdr>
            <w:top w:val="none" w:sz="0" w:space="0" w:color="auto"/>
            <w:left w:val="none" w:sz="0" w:space="0" w:color="auto"/>
            <w:bottom w:val="none" w:sz="0" w:space="0" w:color="auto"/>
            <w:right w:val="none" w:sz="0" w:space="0" w:color="auto"/>
          </w:divBdr>
        </w:div>
        <w:div w:id="9308206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ofund.com.cn" TargetMode="Externa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mailto:service@donghaifunds.com" TargetMode="External"/><Relationship Id="rId7" Type="http://schemas.openxmlformats.org/officeDocument/2006/relationships/footnotes" Target="footnotes.xml"/><Relationship Id="rId12" Type="http://schemas.openxmlformats.org/officeDocument/2006/relationships/hyperlink" Target="http://finance.sina.com.cn/realstock/company/sh601328/nc.shtml"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file:///C:\Users\heyl\AppData\Roaming\Foxmail7\Temp-18136-20230322153913\www.noah-fund.com"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file:///C:\Users\heyl\AppData\Roaming\Foxmail7\Temp-18136-20230322153913\www.lczq.com"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345F84-1D47-4882-B2D0-7537E572A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110</Pages>
  <Words>13285</Words>
  <Characters>75726</Characters>
  <Application>Microsoft Office Word</Application>
  <DocSecurity>0</DocSecurity>
  <Lines>631</Lines>
  <Paragraphs>177</Paragraphs>
  <ScaleCrop>false</ScaleCrop>
  <Company/>
  <LinksUpToDate>false</LinksUpToDate>
  <CharactersWithSpaces>88834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刘金杨-20150316</dc:creator>
  <cp:lastModifiedBy>何玉珑</cp:lastModifiedBy>
  <cp:revision>20</cp:revision>
  <cp:lastPrinted>2019-07-23T03:27:00Z</cp:lastPrinted>
  <dcterms:created xsi:type="dcterms:W3CDTF">2021-07-06T08:57:00Z</dcterms:created>
  <dcterms:modified xsi:type="dcterms:W3CDTF">2023-03-27T09:16:00Z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2814F9C81239469F9CAE011B8EBAEA67</vt:lpwstr>
  </property>
</Properties>
</file>